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82E6A" w:rsidRDefault="00000000">
      <w:pPr>
        <w:spacing w:line="260" w:lineRule="auto"/>
        <w:rPr>
          <w:rFonts w:ascii="ＭＳ 明朝" w:eastAsia="ＭＳ 明朝" w:hAnsi="ＭＳ 明朝" w:cs="ＭＳ 明朝"/>
        </w:rPr>
      </w:pPr>
      <w:r>
        <w:rPr>
          <w:rFonts w:ascii="ＭＳ 明朝" w:eastAsia="ＭＳ 明朝" w:hAnsi="ＭＳ 明朝" w:cs="ＭＳ 明朝"/>
        </w:rPr>
        <w:t>様式第１６（第４０条関係）（第一面から第三面まで）</w:t>
      </w:r>
    </w:p>
    <w:p w:rsidR="00C82E6A" w:rsidRDefault="00C82E6A">
      <w:pPr>
        <w:spacing w:line="260" w:lineRule="auto"/>
        <w:rPr>
          <w:rFonts w:ascii="ＭＳ 明朝" w:eastAsia="ＭＳ 明朝" w:hAnsi="ＭＳ 明朝" w:cs="ＭＳ 明朝"/>
        </w:rPr>
      </w:pPr>
    </w:p>
    <w:tbl>
      <w:tblPr>
        <w:tblStyle w:val="a5"/>
        <w:tblW w:w="8636" w:type="dxa"/>
        <w:tblInd w:w="88" w:type="dxa"/>
        <w:tblBorders>
          <w:left w:val="single" w:sz="4" w:space="0" w:color="000000"/>
          <w:right w:val="single" w:sz="4" w:space="0" w:color="000000"/>
        </w:tblBorders>
        <w:tblLayout w:type="fixed"/>
        <w:tblLook w:val="0000" w:firstRow="0" w:lastRow="0" w:firstColumn="0" w:lastColumn="0" w:noHBand="0" w:noVBand="0"/>
      </w:tblPr>
      <w:tblGrid>
        <w:gridCol w:w="8636"/>
      </w:tblGrid>
      <w:tr w:rsidR="00C82E6A">
        <w:trPr>
          <w:trHeight w:val="3867"/>
        </w:trPr>
        <w:tc>
          <w:tcPr>
            <w:tcW w:w="8636" w:type="dxa"/>
            <w:tcBorders>
              <w:top w:val="single" w:sz="4" w:space="0" w:color="000000"/>
              <w:bottom w:val="nil"/>
            </w:tcBorders>
          </w:tcPr>
          <w:p w:rsidR="00C82E6A" w:rsidRDefault="00000000">
            <w:pPr>
              <w:spacing w:line="260" w:lineRule="auto"/>
              <w:jc w:val="center"/>
              <w:rPr>
                <w:rFonts w:ascii="ＭＳ 明朝" w:eastAsia="ＭＳ 明朝" w:hAnsi="ＭＳ 明朝" w:cs="ＭＳ 明朝"/>
              </w:rPr>
            </w:pPr>
            <w:r>
              <w:rPr>
                <w:rFonts w:ascii="ＭＳ 明朝" w:eastAsia="ＭＳ 明朝" w:hAnsi="ＭＳ 明朝" w:cs="ＭＳ 明朝"/>
              </w:rPr>
              <w:t>認定申請書</w:t>
            </w:r>
          </w:p>
          <w:p w:rsidR="00C82E6A" w:rsidRDefault="00C82E6A">
            <w:pPr>
              <w:spacing w:line="260" w:lineRule="auto"/>
              <w:jc w:val="right"/>
              <w:rPr>
                <w:rFonts w:ascii="ＭＳ 明朝" w:eastAsia="ＭＳ 明朝" w:hAnsi="ＭＳ 明朝" w:cs="ＭＳ 明朝"/>
              </w:rPr>
            </w:pPr>
          </w:p>
          <w:p w:rsidR="00C82E6A" w:rsidRDefault="00000000">
            <w:pPr>
              <w:spacing w:line="260" w:lineRule="auto"/>
              <w:jc w:val="right"/>
              <w:rPr>
                <w:rFonts w:ascii="ＭＳ 明朝" w:eastAsia="ＭＳ 明朝" w:hAnsi="ＭＳ 明朝" w:cs="ＭＳ 明朝"/>
              </w:rPr>
            </w:pPr>
            <w:r>
              <w:rPr>
                <w:rFonts w:ascii="ＭＳ 明朝" w:eastAsia="ＭＳ 明朝" w:hAnsi="ＭＳ 明朝" w:cs="ＭＳ 明朝"/>
              </w:rPr>
              <w:t>申請年月日　202</w:t>
            </w:r>
            <w:r w:rsidR="006326F2">
              <w:rPr>
                <w:rFonts w:ascii="ＭＳ 明朝" w:eastAsia="ＭＳ 明朝" w:hAnsi="ＭＳ 明朝" w:cs="ＭＳ 明朝"/>
              </w:rPr>
              <w:t>5</w:t>
            </w:r>
            <w:r>
              <w:rPr>
                <w:rFonts w:ascii="ＭＳ 明朝" w:eastAsia="ＭＳ 明朝" w:hAnsi="ＭＳ 明朝" w:cs="ＭＳ 明朝"/>
              </w:rPr>
              <w:t xml:space="preserve"> 年　</w:t>
            </w:r>
            <w:r w:rsidR="006326F2">
              <w:rPr>
                <w:rFonts w:ascii="ＭＳ 明朝" w:eastAsia="ＭＳ 明朝" w:hAnsi="ＭＳ 明朝" w:cs="ＭＳ 明朝"/>
              </w:rPr>
              <w:t>4</w:t>
            </w:r>
            <w:r>
              <w:rPr>
                <w:rFonts w:ascii="ＭＳ 明朝" w:eastAsia="ＭＳ 明朝" w:hAnsi="ＭＳ 明朝" w:cs="ＭＳ 明朝"/>
              </w:rPr>
              <w:t xml:space="preserve"> 月　</w:t>
            </w:r>
            <w:r w:rsidR="006326F2">
              <w:rPr>
                <w:rFonts w:ascii="ＭＳ 明朝" w:eastAsia="ＭＳ 明朝" w:hAnsi="ＭＳ 明朝" w:cs="ＭＳ 明朝"/>
              </w:rPr>
              <w:t>2</w:t>
            </w:r>
            <w:r>
              <w:rPr>
                <w:rFonts w:ascii="ＭＳ 明朝" w:eastAsia="ＭＳ 明朝" w:hAnsi="ＭＳ 明朝" w:cs="ＭＳ 明朝"/>
              </w:rPr>
              <w:t xml:space="preserve"> 日</w:t>
            </w:r>
          </w:p>
          <w:p w:rsidR="00C82E6A" w:rsidRDefault="00000000">
            <w:pPr>
              <w:spacing w:line="260" w:lineRule="auto"/>
              <w:jc w:val="right"/>
              <w:rPr>
                <w:rFonts w:ascii="ＭＳ 明朝" w:eastAsia="ＭＳ 明朝" w:hAnsi="ＭＳ 明朝" w:cs="ＭＳ 明朝"/>
              </w:rPr>
            </w:pPr>
            <w:r>
              <w:rPr>
                <w:rFonts w:ascii="ＭＳ 明朝" w:eastAsia="ＭＳ 明朝" w:hAnsi="ＭＳ 明朝" w:cs="ＭＳ 明朝"/>
              </w:rPr>
              <w:t xml:space="preserve">　</w:t>
            </w:r>
          </w:p>
          <w:p w:rsidR="00C82E6A" w:rsidRDefault="00000000">
            <w:pPr>
              <w:spacing w:line="260" w:lineRule="auto"/>
              <w:rPr>
                <w:rFonts w:ascii="ＭＳ 明朝" w:eastAsia="ＭＳ 明朝" w:hAnsi="ＭＳ 明朝" w:cs="ＭＳ 明朝"/>
              </w:rPr>
            </w:pPr>
            <w:r>
              <w:rPr>
                <w:rFonts w:ascii="ＭＳ 明朝" w:eastAsia="ＭＳ 明朝" w:hAnsi="ＭＳ 明朝" w:cs="ＭＳ 明朝"/>
              </w:rPr>
              <w:t xml:space="preserve">　　経済産業大臣　殿</w:t>
            </w:r>
          </w:p>
          <w:p w:rsidR="00C82E6A" w:rsidRDefault="00000000">
            <w:pPr>
              <w:spacing w:line="260" w:lineRule="auto"/>
              <w:ind w:left="6"/>
              <w:jc w:val="right"/>
              <w:rPr>
                <w:rFonts w:ascii="ＭＳ 明朝" w:eastAsia="ＭＳ 明朝" w:hAnsi="ＭＳ 明朝" w:cs="ＭＳ 明朝"/>
              </w:rPr>
            </w:pPr>
            <w:r>
              <w:rPr>
                <w:rFonts w:ascii="ＭＳ 明朝" w:eastAsia="ＭＳ 明朝" w:hAnsi="ＭＳ 明朝" w:cs="ＭＳ 明朝"/>
              </w:rPr>
              <w:t>（ふりがな）</w:t>
            </w:r>
            <w:proofErr w:type="gramStart"/>
            <w:r>
              <w:rPr>
                <w:rFonts w:ascii="ＭＳ 明朝" w:eastAsia="ＭＳ 明朝" w:hAnsi="ＭＳ 明朝" w:cs="ＭＳ 明朝"/>
              </w:rPr>
              <w:t>かぶ</w:t>
            </w:r>
            <w:proofErr w:type="gramEnd"/>
            <w:r>
              <w:rPr>
                <w:rFonts w:ascii="ＭＳ 明朝" w:eastAsia="ＭＳ 明朝" w:hAnsi="ＭＳ 明朝" w:cs="ＭＳ 明朝"/>
              </w:rPr>
              <w:t>しきがいしゃ</w:t>
            </w:r>
            <w:proofErr w:type="gramStart"/>
            <w:r>
              <w:rPr>
                <w:rFonts w:ascii="ＭＳ 明朝" w:eastAsia="ＭＳ 明朝" w:hAnsi="ＭＳ 明朝" w:cs="ＭＳ 明朝"/>
              </w:rPr>
              <w:t>おきなわぷれす</w:t>
            </w:r>
            <w:proofErr w:type="gramEnd"/>
            <w:r>
              <w:rPr>
                <w:rFonts w:ascii="ＭＳ 明朝" w:eastAsia="ＭＳ 明朝" w:hAnsi="ＭＳ 明朝" w:cs="ＭＳ 明朝"/>
              </w:rPr>
              <w:t xml:space="preserve">                 </w:t>
            </w:r>
          </w:p>
          <w:p w:rsidR="00C82E6A" w:rsidRDefault="00000000">
            <w:pPr>
              <w:spacing w:after="120" w:line="260" w:lineRule="auto"/>
              <w:jc w:val="right"/>
              <w:rPr>
                <w:rFonts w:ascii="ＭＳ 明朝" w:eastAsia="ＭＳ 明朝" w:hAnsi="ＭＳ 明朝" w:cs="ＭＳ 明朝"/>
              </w:rPr>
            </w:pPr>
            <w:r>
              <w:rPr>
                <w:rFonts w:ascii="ＭＳ 明朝" w:eastAsia="ＭＳ 明朝" w:hAnsi="ＭＳ 明朝" w:cs="ＭＳ 明朝"/>
              </w:rPr>
              <w:t xml:space="preserve">一般事業主の氏名又は名称　株式会社オキナワプレス                  </w:t>
            </w:r>
          </w:p>
          <w:p w:rsidR="00C82E6A" w:rsidRDefault="00000000">
            <w:pPr>
              <w:spacing w:line="260" w:lineRule="auto"/>
              <w:ind w:left="4"/>
              <w:jc w:val="right"/>
              <w:rPr>
                <w:rFonts w:ascii="ＭＳ 明朝" w:eastAsia="ＭＳ 明朝" w:hAnsi="ＭＳ 明朝" w:cs="ＭＳ 明朝"/>
              </w:rPr>
            </w:pPr>
            <w:r>
              <w:rPr>
                <w:rFonts w:ascii="ＭＳ 明朝" w:eastAsia="ＭＳ 明朝" w:hAnsi="ＭＳ 明朝" w:cs="ＭＳ 明朝"/>
              </w:rPr>
              <w:t xml:space="preserve">（ふりがな）たまなは　りゅうや                 </w:t>
            </w:r>
          </w:p>
          <w:p w:rsidR="00C82E6A" w:rsidRDefault="00000000">
            <w:pPr>
              <w:spacing w:after="120" w:line="260" w:lineRule="auto"/>
              <w:jc w:val="right"/>
              <w:rPr>
                <w:rFonts w:ascii="ＭＳ 明朝" w:eastAsia="ＭＳ 明朝" w:hAnsi="ＭＳ 明朝" w:cs="ＭＳ 明朝"/>
              </w:rPr>
            </w:pPr>
            <w:r>
              <w:rPr>
                <w:rFonts w:ascii="ＭＳ 明朝" w:eastAsia="ＭＳ 明朝" w:hAnsi="ＭＳ 明朝" w:cs="ＭＳ 明朝"/>
              </w:rPr>
              <w:t xml:space="preserve">（法人の場合）代表者の氏名　玉那覇　竜也    </w:t>
            </w:r>
          </w:p>
          <w:p w:rsidR="00C82E6A" w:rsidRDefault="00000000">
            <w:pPr>
              <w:spacing w:after="120" w:line="260" w:lineRule="auto"/>
              <w:ind w:firstLine="707"/>
              <w:rPr>
                <w:rFonts w:ascii="ＭＳ 明朝" w:eastAsia="ＭＳ 明朝" w:hAnsi="ＭＳ 明朝" w:cs="ＭＳ 明朝"/>
              </w:rPr>
            </w:pPr>
            <w:r>
              <w:rPr>
                <w:rFonts w:ascii="ＭＳ 明朝" w:eastAsia="ＭＳ 明朝" w:hAnsi="ＭＳ 明朝" w:cs="ＭＳ 明朝"/>
              </w:rPr>
              <w:t>住所　〒900-0004</w:t>
            </w:r>
          </w:p>
          <w:p w:rsidR="00C82E6A" w:rsidRDefault="00000000">
            <w:pPr>
              <w:spacing w:after="120" w:line="260" w:lineRule="auto"/>
              <w:ind w:firstLine="707"/>
              <w:rPr>
                <w:rFonts w:ascii="ＭＳ 明朝" w:eastAsia="ＭＳ 明朝" w:hAnsi="ＭＳ 明朝" w:cs="ＭＳ 明朝"/>
              </w:rPr>
            </w:pPr>
            <w:r>
              <w:rPr>
                <w:rFonts w:ascii="ＭＳ 明朝" w:eastAsia="ＭＳ 明朝" w:hAnsi="ＭＳ 明朝" w:cs="ＭＳ 明朝"/>
              </w:rPr>
              <w:t xml:space="preserve">　　　　沖縄県那覇市銘苅2-3-6 那覇市IT創造館201号室</w:t>
            </w:r>
          </w:p>
          <w:p w:rsidR="00C82E6A" w:rsidRDefault="00C82E6A">
            <w:pPr>
              <w:spacing w:after="120" w:line="260" w:lineRule="auto"/>
              <w:ind w:left="2699"/>
              <w:rPr>
                <w:rFonts w:ascii="ＭＳ 明朝" w:eastAsia="ＭＳ 明朝" w:hAnsi="ＭＳ 明朝" w:cs="ＭＳ 明朝"/>
              </w:rPr>
            </w:pPr>
          </w:p>
          <w:p w:rsidR="00C82E6A" w:rsidRDefault="00000000">
            <w:pPr>
              <w:spacing w:after="240" w:line="260" w:lineRule="auto"/>
              <w:ind w:left="4717"/>
              <w:rPr>
                <w:rFonts w:ascii="ＭＳ 明朝" w:eastAsia="ＭＳ 明朝" w:hAnsi="ＭＳ 明朝" w:cs="ＭＳ 明朝"/>
              </w:rPr>
            </w:pPr>
            <w:r>
              <w:rPr>
                <w:rFonts w:ascii="ＭＳ 明朝" w:eastAsia="ＭＳ 明朝" w:hAnsi="ＭＳ 明朝" w:cs="ＭＳ 明朝"/>
              </w:rPr>
              <w:t>法人番号　3360001032045</w:t>
            </w:r>
          </w:p>
          <w:p w:rsidR="00C82E6A" w:rsidRDefault="00000000">
            <w:pPr>
              <w:spacing w:line="260" w:lineRule="auto"/>
              <w:rPr>
                <w:rFonts w:ascii="ＭＳ 明朝" w:eastAsia="ＭＳ 明朝" w:hAnsi="ＭＳ 明朝" w:cs="ＭＳ 明朝"/>
              </w:rPr>
            </w:pPr>
            <w:r>
              <w:rPr>
                <w:rFonts w:ascii="ＭＳ 明朝" w:eastAsia="ＭＳ 明朝" w:hAnsi="ＭＳ 明朝" w:cs="ＭＳ 明朝"/>
              </w:rPr>
              <w:t xml:space="preserve">　情報処理の促進に関する法律第３１条に基づき、情報処理の促進に関する法律施行規則第４１条（①第１号、②第２号）に掲げる基準による認定を受けたいので、下記のとおり申請します。</w:t>
            </w:r>
            <w:r>
              <w:rPr>
                <w:noProof/>
              </w:rPr>
              <mc:AlternateContent>
                <mc:Choice Requires="wps">
                  <w:drawing>
                    <wp:anchor distT="114300" distB="114300" distL="114300" distR="114300" simplePos="0" relativeHeight="251658240" behindDoc="0" locked="0" layoutInCell="1" hidden="0" allowOverlap="1">
                      <wp:simplePos x="0" y="0"/>
                      <wp:positionH relativeFrom="column">
                        <wp:posOffset>590550</wp:posOffset>
                      </wp:positionH>
                      <wp:positionV relativeFrom="paragraph">
                        <wp:posOffset>142875</wp:posOffset>
                      </wp:positionV>
                      <wp:extent cx="719455" cy="245269"/>
                      <wp:effectExtent l="0" t="0" r="0" b="0"/>
                      <wp:wrapNone/>
                      <wp:docPr id="1" name="円/楕円 1"/>
                      <wp:cNvGraphicFramePr/>
                      <a:graphic xmlns:a="http://schemas.openxmlformats.org/drawingml/2006/main">
                        <a:graphicData uri="http://schemas.microsoft.com/office/word/2010/wordprocessingShape">
                          <wps:wsp>
                            <wps:cNvSpPr/>
                            <wps:spPr>
                              <a:xfrm>
                                <a:off x="2796450" y="2246175"/>
                                <a:ext cx="1240800" cy="410400"/>
                              </a:xfrm>
                              <a:prstGeom prst="ellipse">
                                <a:avLst/>
                              </a:prstGeom>
                              <a:noFill/>
                              <a:ln w="19050" cap="flat" cmpd="sng">
                                <a:solidFill>
                                  <a:srgbClr val="000000"/>
                                </a:solidFill>
                                <a:prstDash val="solid"/>
                                <a:round/>
                                <a:headEnd type="none" w="sm" len="sm"/>
                                <a:tailEnd type="none" w="sm" len="sm"/>
                              </a:ln>
                            </wps:spPr>
                            <wps:txbx>
                              <w:txbxContent>
                                <w:p w:rsidR="00C82E6A" w:rsidRDefault="00C82E6A">
                                  <w:pPr>
                                    <w:jc w:val="center"/>
                                    <w:textDirection w:val="btLr"/>
                                  </w:pPr>
                                </w:p>
                              </w:txbxContent>
                            </wps:txbx>
                            <wps:bodyPr spcFirstLastPara="1" wrap="square" lIns="91425" tIns="91425" rIns="91425" bIns="91425" anchor="ctr" anchorCtr="0">
                              <a:noAutofit/>
                            </wps:bodyPr>
                          </wps:wsp>
                        </a:graphicData>
                      </a:graphic>
                    </wp:anchor>
                  </w:drawing>
                </mc:Choice>
                <mc:Fallback>
                  <w:pict>
                    <v:oval id="円/楕円 1" o:spid="_x0000_s1026" style="position:absolute;left:0;text-align:left;margin-left:46.5pt;margin-top:11.25pt;width:56.65pt;height:19.3pt;z-index:251658240;visibility:visible;mso-wrap-style:square;mso-wrap-distance-left:9pt;mso-wrap-distance-top:9pt;mso-wrap-distance-right:9pt;mso-wrap-distance-bottom:9pt;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" filled="f" strokeweight="1.5pt">
                      <v:stroke startarrowwidth="narrow" startarrowlength="short" endarrowwidth="narrow" endarrowlength="short"/>
                      <v:textbox inset="2.53958mm,2.53958mm,2.53958mm,2.53958mm">
                        <w:txbxContent>
                          <w:p w:rsidR="00C82E6A" w:rsidRDefault="00C82E6A">
                            <w:pPr>
                              <w:jc w:val="center"/>
                              <w:textDirection w:val="btLr"/>
                            </w:pPr>
                          </w:p>
                        </w:txbxContent>
                      </v:textbox>
                    </v:oval>
                  </w:pict>
                </mc:Fallback>
              </mc:AlternateContent>
            </w:r>
          </w:p>
          <w:p w:rsidR="00C82E6A" w:rsidRDefault="00C82E6A">
            <w:pPr>
              <w:spacing w:line="260" w:lineRule="auto"/>
              <w:rPr>
                <w:rFonts w:ascii="ＭＳ 明朝" w:eastAsia="ＭＳ 明朝" w:hAnsi="ＭＳ 明朝" w:cs="ＭＳ 明朝"/>
              </w:rPr>
            </w:pPr>
          </w:p>
          <w:p w:rsidR="00C82E6A" w:rsidRDefault="00C82E6A">
            <w:pPr>
              <w:spacing w:line="260" w:lineRule="auto"/>
              <w:ind w:left="360"/>
              <w:jc w:val="right"/>
              <w:rPr>
                <w:rFonts w:ascii="ＭＳ 明朝" w:eastAsia="ＭＳ 明朝" w:hAnsi="ＭＳ 明朝" w:cs="ＭＳ 明朝"/>
              </w:rPr>
            </w:pPr>
          </w:p>
        </w:tc>
      </w:tr>
      <w:tr w:rsidR="00C82E6A">
        <w:trPr>
          <w:trHeight w:val="424"/>
        </w:trPr>
        <w:tc>
          <w:tcPr>
            <w:tcW w:w="8636" w:type="dxa"/>
            <w:tcBorders>
              <w:bottom w:val="single" w:sz="4" w:space="0" w:color="000000"/>
            </w:tcBorders>
          </w:tcPr>
          <w:p w:rsidR="00C82E6A" w:rsidRDefault="00000000">
            <w:pPr>
              <w:spacing w:after="240" w:line="238" w:lineRule="auto"/>
              <w:jc w:val="center"/>
              <w:rPr>
                <w:rFonts w:ascii="ＭＳ 明朝" w:eastAsia="ＭＳ 明朝" w:hAnsi="ＭＳ 明朝" w:cs="ＭＳ 明朝"/>
              </w:rPr>
            </w:pPr>
            <w:r>
              <w:rPr>
                <w:rFonts w:ascii="ＭＳ 明朝" w:eastAsia="ＭＳ 明朝" w:hAnsi="ＭＳ 明朝" w:cs="ＭＳ 明朝"/>
              </w:rPr>
              <w:t>記</w:t>
            </w:r>
          </w:p>
          <w:p w:rsidR="00C82E6A" w:rsidRDefault="00000000">
            <w:pPr>
              <w:spacing w:after="120" w:line="238" w:lineRule="auto"/>
              <w:jc w:val="center"/>
              <w:rPr>
                <w:rFonts w:ascii="ＭＳ 明朝" w:eastAsia="ＭＳ 明朝" w:hAnsi="ＭＳ 明朝" w:cs="ＭＳ 明朝"/>
              </w:rPr>
            </w:pPr>
            <w:r>
              <w:rPr>
                <w:rFonts w:ascii="ＭＳ 明朝" w:eastAsia="ＭＳ 明朝" w:hAnsi="ＭＳ 明朝" w:cs="ＭＳ 明朝"/>
              </w:rPr>
              <w:t>情報処理システムの運用及び管理に関する指針に関する取組の実施状況</w:t>
            </w:r>
          </w:p>
          <w:p w:rsidR="00C82E6A" w:rsidRDefault="00C82E6A">
            <w:pPr>
              <w:spacing w:after="120" w:line="238" w:lineRule="auto"/>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(1) 企業経営の方向性及び情報処理技術の活用の方向性の決定</w:t>
            </w:r>
          </w:p>
          <w:tbl>
            <w:tblPr>
              <w:tblStyle w:val="a6"/>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C82E6A">
              <w:trPr>
                <w:trHeight w:val="70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shd w:val="clear" w:color="auto" w:fill="auto"/>
                </w:tcPr>
                <w:p w:rsidR="00C82E6A" w:rsidRDefault="00000000">
                  <w:pPr>
                    <w:pStyle w:val="2"/>
                    <w:keepNext w:val="0"/>
                    <w:keepLines w:val="0"/>
                    <w:spacing w:before="0" w:after="0" w:line="238" w:lineRule="auto"/>
                    <w:jc w:val="left"/>
                    <w:rPr>
                      <w:rFonts w:ascii="ＭＳ 明朝" w:eastAsia="ＭＳ 明朝" w:hAnsi="ＭＳ 明朝" w:cs="ＭＳ 明朝"/>
                    </w:rPr>
                  </w:pPr>
                  <w:bookmarkStart w:id="0" w:name="_qyr2foxqyurx" w:colFirst="0" w:colLast="0"/>
                  <w:bookmarkEnd w:id="0"/>
                  <w:r>
                    <w:rPr>
                      <w:rFonts w:ascii="Arial Unicode MS" w:eastAsia="Arial Unicode MS" w:hAnsi="Arial Unicode MS" w:cs="Arial Unicode MS"/>
                      <w:b w:val="0"/>
                      <w:sz w:val="20"/>
                      <w:szCs w:val="20"/>
                    </w:rPr>
                    <w:t>DX推進活動</w:t>
                  </w:r>
                </w:p>
              </w:tc>
            </w:tr>
            <w:tr w:rsidR="00C82E6A">
              <w:trPr>
                <w:trHeight w:val="69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公表日</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2025年　2月　18日</w:t>
                  </w:r>
                </w:p>
              </w:tc>
            </w:tr>
            <w:tr w:rsidR="00C82E6A">
              <w:trPr>
                <w:trHeight w:val="70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公表方法・公表場所・記載箇所・ページ</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sz w:val="20"/>
                      <w:szCs w:val="20"/>
                    </w:rPr>
                  </w:pPr>
                  <w:r>
                    <w:rPr>
                      <w:rFonts w:ascii="Arial Unicode MS" w:eastAsia="Arial Unicode MS" w:hAnsi="Arial Unicode MS" w:cs="Arial Unicode MS"/>
                      <w:sz w:val="20"/>
                      <w:szCs w:val="20"/>
                    </w:rPr>
                    <w:t>ページ: DX推進活動</w:t>
                  </w:r>
                </w:p>
                <w:p w:rsidR="00C82E6A" w:rsidRDefault="00000000">
                  <w:pPr>
                    <w:spacing w:after="120" w:line="238" w:lineRule="auto"/>
                    <w:jc w:val="left"/>
                    <w:rPr>
                      <w:rFonts w:ascii="ＭＳ 明朝" w:eastAsia="ＭＳ 明朝" w:hAnsi="ＭＳ 明朝" w:cs="ＭＳ 明朝"/>
                      <w:sz w:val="20"/>
                      <w:szCs w:val="20"/>
                    </w:rPr>
                  </w:pPr>
                  <w:r>
                    <w:rPr>
                      <w:rFonts w:ascii="Arial Unicode MS" w:eastAsia="Arial Unicode MS" w:hAnsi="Arial Unicode MS" w:cs="Arial Unicode MS"/>
                      <w:sz w:val="20"/>
                      <w:szCs w:val="20"/>
                    </w:rPr>
                    <w:t xml:space="preserve">見出し: </w:t>
                  </w:r>
                  <w:proofErr w:type="gramStart"/>
                  <w:r>
                    <w:rPr>
                      <w:rFonts w:ascii="Arial Unicode MS" w:eastAsia="Arial Unicode MS" w:hAnsi="Arial Unicode MS" w:cs="Arial Unicode MS"/>
                      <w:sz w:val="20"/>
                      <w:szCs w:val="20"/>
                    </w:rPr>
                    <w:t>ー</w:t>
                  </w:r>
                  <w:proofErr w:type="gramEnd"/>
                  <w:r>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highlight w:val="white"/>
                    </w:rPr>
                    <w:t xml:space="preserve">経営ビジョン </w:t>
                  </w:r>
                  <w:proofErr w:type="gramStart"/>
                  <w:r>
                    <w:rPr>
                      <w:rFonts w:ascii="Arial Unicode MS" w:eastAsia="Arial Unicode MS" w:hAnsi="Arial Unicode MS" w:cs="Arial Unicode MS"/>
                      <w:sz w:val="20"/>
                      <w:szCs w:val="20"/>
                      <w:highlight w:val="white"/>
                    </w:rPr>
                    <w:t>ー</w:t>
                  </w:r>
                  <w:proofErr w:type="gramEnd"/>
                </w:p>
                <w:p w:rsidR="00C82E6A" w:rsidRDefault="00000000">
                  <w:pPr>
                    <w:spacing w:after="120" w:line="238" w:lineRule="auto"/>
                    <w:jc w:val="left"/>
                    <w:rPr>
                      <w:rFonts w:ascii="ＭＳ 明朝" w:eastAsia="ＭＳ 明朝" w:hAnsi="ＭＳ 明朝" w:cs="ＭＳ 明朝"/>
                      <w:sz w:val="20"/>
                      <w:szCs w:val="20"/>
                    </w:rPr>
                  </w:pPr>
                  <w:r>
                    <w:rPr>
                      <w:rFonts w:ascii="Arial" w:eastAsia="Arial" w:hAnsi="Arial" w:cs="Arial"/>
                      <w:sz w:val="20"/>
                      <w:szCs w:val="20"/>
                    </w:rPr>
                    <w:t>URL: h</w:t>
                  </w:r>
                  <w:r>
                    <w:rPr>
                      <w:rFonts w:ascii="ＭＳ 明朝" w:eastAsia="ＭＳ 明朝" w:hAnsi="ＭＳ 明朝" w:cs="ＭＳ 明朝"/>
                      <w:sz w:val="20"/>
                      <w:szCs w:val="20"/>
                    </w:rPr>
                    <w:t>ttps://okinawapress.jp/dx/</w:t>
                  </w:r>
                </w:p>
              </w:tc>
            </w:tr>
            <w:tr w:rsidR="00C82E6A">
              <w:trPr>
                <w:trHeight w:val="69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shd w:val="clear" w:color="auto" w:fill="auto"/>
                </w:tcPr>
                <w:p w:rsidR="006C5036" w:rsidRDefault="006C5036">
                  <w:pPr>
                    <w:spacing w:after="120" w:line="238" w:lineRule="auto"/>
                    <w:jc w:val="left"/>
                    <w:rPr>
                      <w:rFonts w:ascii="Arial Unicode MS" w:eastAsia="Arial Unicode MS" w:hAnsi="Arial Unicode MS" w:cs="Arial Unicode MS"/>
                      <w:sz w:val="20"/>
                      <w:szCs w:val="20"/>
                    </w:rPr>
                  </w:pPr>
                  <w:proofErr w:type="gramStart"/>
                  <w:r w:rsidRPr="006C5036">
                    <w:rPr>
                      <w:rFonts w:ascii="Arial Unicode MS" w:eastAsia="Arial Unicode MS" w:hAnsi="Arial Unicode MS" w:cs="Arial Unicode MS"/>
                      <w:sz w:val="20"/>
                      <w:szCs w:val="20"/>
                      <w:highlight w:val="white"/>
                    </w:rPr>
                    <w:t>ー</w:t>
                  </w:r>
                  <w:proofErr w:type="gramEnd"/>
                  <w:r w:rsidRPr="006C5036">
                    <w:rPr>
                      <w:rFonts w:ascii="Arial Unicode MS" w:eastAsia="Arial Unicode MS" w:hAnsi="Arial Unicode MS" w:cs="Arial Unicode MS"/>
                      <w:sz w:val="20"/>
                      <w:szCs w:val="20"/>
                      <w:highlight w:val="white"/>
                    </w:rPr>
                    <w:t xml:space="preserve"> 経営ビジョン </w:t>
                  </w:r>
                  <w:proofErr w:type="gramStart"/>
                  <w:r w:rsidRPr="006C5036">
                    <w:rPr>
                      <w:rFonts w:ascii="Arial Unicode MS" w:eastAsia="Arial Unicode MS" w:hAnsi="Arial Unicode MS" w:cs="Arial Unicode MS"/>
                      <w:sz w:val="20"/>
                      <w:szCs w:val="20"/>
                      <w:highlight w:val="white"/>
                    </w:rPr>
                    <w:t>ー</w:t>
                  </w:r>
                  <w:proofErr w:type="gramEnd"/>
                  <w:r>
                    <w:rPr>
                      <w:rFonts w:ascii="Arial Unicode MS" w:eastAsia="Arial Unicode MS" w:hAnsi="Arial Unicode MS" w:cs="Arial Unicode MS"/>
                      <w:sz w:val="20"/>
                      <w:szCs w:val="20"/>
                      <w:highlight w:val="white"/>
                    </w:rPr>
                    <w:br/>
                  </w:r>
                  <w:r w:rsidR="00000000" w:rsidRPr="006C5036">
                    <w:rPr>
                      <w:rFonts w:ascii="Arial Unicode MS" w:eastAsia="Arial Unicode MS" w:hAnsi="Arial Unicode MS" w:cs="Arial Unicode MS"/>
                      <w:sz w:val="20"/>
                      <w:szCs w:val="20"/>
                      <w:highlight w:val="white"/>
                    </w:rPr>
                    <w:t>当社は、デジタル技術とデータ活用を通じて、顧客の課題を解決し、価値創造を加速する企業を目指します。DXを推進することで、業務効率の向上、品質の改善、新たなビジネスモデルの創出を図り、企業の持続的成長を実現します。</w:t>
                  </w:r>
                </w:p>
                <w:p w:rsidR="00C82E6A" w:rsidRPr="006C5036" w:rsidRDefault="006C5036">
                  <w:pPr>
                    <w:spacing w:after="120" w:line="238" w:lineRule="auto"/>
                    <w:jc w:val="left"/>
                    <w:rPr>
                      <w:rFonts w:ascii="ＭＳ 明朝" w:eastAsia="ＭＳ 明朝" w:hAnsi="ＭＳ 明朝" w:cs="ＭＳ 明朝" w:hint="eastAsia"/>
                    </w:rPr>
                  </w:pPr>
                  <w:proofErr w:type="gramStart"/>
                  <w:r w:rsidRPr="006C5036">
                    <w:rPr>
                      <w:rFonts w:ascii="Arial Unicode MS" w:eastAsia="Arial Unicode MS" w:hAnsi="Arial Unicode MS" w:cs="Arial Unicode MS"/>
                      <w:sz w:val="20"/>
                      <w:szCs w:val="20"/>
                    </w:rPr>
                    <w:t>ー</w:t>
                  </w:r>
                  <w:proofErr w:type="gramEnd"/>
                  <w:r w:rsidRPr="006C5036">
                    <w:rPr>
                      <w:rFonts w:ascii="Arial Unicode MS" w:eastAsia="Arial Unicode MS" w:hAnsi="Arial Unicode MS" w:cs="Arial Unicode MS"/>
                      <w:sz w:val="20"/>
                      <w:szCs w:val="20"/>
                    </w:rPr>
                    <w:t xml:space="preserve"> 情報処理技術活用の方向性 </w:t>
                  </w:r>
                  <w:proofErr w:type="gramStart"/>
                  <w:r w:rsidRPr="006C5036">
                    <w:rPr>
                      <w:rFonts w:ascii="Arial Unicode MS" w:eastAsia="Arial Unicode MS" w:hAnsi="Arial Unicode MS" w:cs="Arial Unicode MS"/>
                      <w:sz w:val="20"/>
                      <w:szCs w:val="20"/>
                    </w:rPr>
                    <w:t>ー</w:t>
                  </w:r>
                  <w:proofErr w:type="gramEnd"/>
                  <w:r w:rsidR="002A105B" w:rsidRPr="006C5036">
                    <w:rPr>
                      <w:rFonts w:ascii="Arial Unicode MS" w:eastAsia="Arial Unicode MS" w:hAnsi="Arial Unicode MS" w:cs="Arial Unicode MS"/>
                      <w:sz w:val="20"/>
                      <w:szCs w:val="20"/>
                    </w:rPr>
                    <w:br/>
                  </w:r>
                  <w:r w:rsidR="00BC0C5E" w:rsidRPr="00BC0C5E">
                    <w:rPr>
                      <w:rFonts w:ascii="Arial Unicode MS" w:eastAsia="Arial Unicode MS" w:hAnsi="Arial Unicode MS" w:cs="Arial Unicode MS"/>
                      <w:sz w:val="20"/>
                      <w:szCs w:val="20"/>
                    </w:rPr>
                    <w:t>当社は、顧客接点のデジタル化を通じてUX（ユーザー体験）の最適化を図り、顧客行動やニーズに関するデータを蓄積・分析することで、新たなサービスや付加価値の創出に繋げる。</w:t>
                  </w:r>
                </w:p>
              </w:tc>
            </w:tr>
            <w:tr w:rsidR="00C82E6A">
              <w:trPr>
                <w:trHeight w:val="70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lastRenderedPageBreak/>
                    <w:t>意思決定機関の決定に基づいていることの説明</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取締役会において承認のうえ公表</w:t>
                  </w:r>
                </w:p>
              </w:tc>
            </w:tr>
          </w:tbl>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(2) 企業経営及び情報処理技術の活用の具体的な方策（戦略）の決定</w:t>
            </w:r>
          </w:p>
          <w:tbl>
            <w:tblPr>
              <w:tblStyle w:val="a7"/>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C82E6A">
              <w:trPr>
                <w:trHeight w:val="70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shd w:val="clear" w:color="auto" w:fill="auto"/>
                </w:tcPr>
                <w:p w:rsidR="00C82E6A" w:rsidRDefault="00000000">
                  <w:pPr>
                    <w:pStyle w:val="2"/>
                    <w:keepNext w:val="0"/>
                    <w:keepLines w:val="0"/>
                    <w:spacing w:before="0" w:after="0" w:line="238" w:lineRule="auto"/>
                    <w:jc w:val="left"/>
                    <w:rPr>
                      <w:rFonts w:ascii="ＭＳ 明朝" w:eastAsia="ＭＳ 明朝" w:hAnsi="ＭＳ 明朝" w:cs="ＭＳ 明朝"/>
                    </w:rPr>
                  </w:pPr>
                  <w:bookmarkStart w:id="1" w:name="_8f86kbhwpdmh" w:colFirst="0" w:colLast="0"/>
                  <w:bookmarkEnd w:id="1"/>
                  <w:r>
                    <w:rPr>
                      <w:rFonts w:ascii="Arial Unicode MS" w:eastAsia="Arial Unicode MS" w:hAnsi="Arial Unicode MS" w:cs="Arial Unicode MS"/>
                      <w:b w:val="0"/>
                      <w:sz w:val="20"/>
                      <w:szCs w:val="20"/>
                    </w:rPr>
                    <w:t>DX推進活動</w:t>
                  </w:r>
                </w:p>
                <w:p w:rsidR="00C82E6A" w:rsidRDefault="00C82E6A">
                  <w:pPr>
                    <w:spacing w:after="120" w:line="238" w:lineRule="auto"/>
                    <w:jc w:val="left"/>
                    <w:rPr>
                      <w:rFonts w:ascii="ＭＳ 明朝" w:eastAsia="ＭＳ 明朝" w:hAnsi="ＭＳ 明朝" w:cs="ＭＳ 明朝"/>
                    </w:rPr>
                  </w:pPr>
                </w:p>
              </w:tc>
            </w:tr>
            <w:tr w:rsidR="00C82E6A">
              <w:trPr>
                <w:trHeight w:val="69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公表日</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2025年　2月　18日</w:t>
                  </w:r>
                </w:p>
                <w:p w:rsidR="00C82E6A" w:rsidRDefault="00C82E6A">
                  <w:pPr>
                    <w:spacing w:after="120" w:line="238" w:lineRule="auto"/>
                    <w:jc w:val="left"/>
                    <w:rPr>
                      <w:rFonts w:ascii="ＭＳ 明朝" w:eastAsia="ＭＳ 明朝" w:hAnsi="ＭＳ 明朝" w:cs="ＭＳ 明朝"/>
                    </w:rPr>
                  </w:pPr>
                </w:p>
              </w:tc>
            </w:tr>
            <w:tr w:rsidR="00C82E6A">
              <w:trPr>
                <w:trHeight w:val="70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公表方法・公表場所・記載箇所・ページ</w:t>
                  </w:r>
                </w:p>
              </w:tc>
              <w:tc>
                <w:tcPr>
                  <w:tcW w:w="5890" w:type="dxa"/>
                  <w:shd w:val="clear" w:color="auto" w:fill="auto"/>
                </w:tcPr>
                <w:p w:rsidR="00C82E6A" w:rsidRDefault="00000000">
                  <w:pPr>
                    <w:spacing w:after="120" w:line="238" w:lineRule="auto"/>
                    <w:jc w:val="left"/>
                    <w:rPr>
                      <w:rFonts w:ascii="Arial" w:eastAsia="Arial" w:hAnsi="Arial" w:cs="Arial"/>
                      <w:sz w:val="20"/>
                      <w:szCs w:val="20"/>
                    </w:rPr>
                  </w:pPr>
                  <w:r>
                    <w:rPr>
                      <w:rFonts w:ascii="Arial Unicode MS" w:eastAsia="Arial Unicode MS" w:hAnsi="Arial Unicode MS" w:cs="Arial Unicode MS"/>
                      <w:sz w:val="20"/>
                      <w:szCs w:val="20"/>
                    </w:rPr>
                    <w:t xml:space="preserve">見出し: </w:t>
                  </w:r>
                </w:p>
                <w:p w:rsidR="00C82E6A" w:rsidRDefault="00000000">
                  <w:pPr>
                    <w:spacing w:after="120" w:line="238" w:lineRule="auto"/>
                    <w:jc w:val="left"/>
                    <w:rPr>
                      <w:rFonts w:ascii="ＭＳ 明朝" w:eastAsia="ＭＳ 明朝" w:hAnsi="ＭＳ 明朝" w:cs="ＭＳ 明朝"/>
                      <w:sz w:val="20"/>
                      <w:szCs w:val="20"/>
                    </w:rPr>
                  </w:pPr>
                  <w:r>
                    <w:rPr>
                      <w:rFonts w:ascii="ＭＳ 明朝" w:eastAsia="ＭＳ 明朝" w:hAnsi="ＭＳ 明朝" w:cs="ＭＳ 明朝"/>
                      <w:sz w:val="20"/>
                      <w:szCs w:val="20"/>
                    </w:rPr>
                    <w:t>DX戦略の柱</w:t>
                  </w:r>
                </w:p>
                <w:p w:rsidR="00C82E6A" w:rsidRDefault="00000000">
                  <w:pPr>
                    <w:spacing w:after="120" w:line="238" w:lineRule="auto"/>
                    <w:jc w:val="left"/>
                    <w:rPr>
                      <w:rFonts w:ascii="ＭＳ 明朝" w:eastAsia="ＭＳ 明朝" w:hAnsi="ＭＳ 明朝" w:cs="ＭＳ 明朝"/>
                      <w:sz w:val="20"/>
                      <w:szCs w:val="20"/>
                    </w:rPr>
                  </w:pPr>
                  <w:r>
                    <w:rPr>
                      <w:rFonts w:ascii="ＭＳ 明朝" w:eastAsia="ＭＳ 明朝" w:hAnsi="ＭＳ 明朝" w:cs="ＭＳ 明朝"/>
                      <w:sz w:val="20"/>
                      <w:szCs w:val="20"/>
                    </w:rPr>
                    <w:t>1. AI・データ活用による業務プロセスの最適化</w:t>
                  </w:r>
                </w:p>
                <w:p w:rsidR="00C82E6A" w:rsidRDefault="00000000">
                  <w:pPr>
                    <w:spacing w:after="120" w:line="238" w:lineRule="auto"/>
                    <w:jc w:val="left"/>
                    <w:rPr>
                      <w:rFonts w:ascii="ＭＳ 明朝" w:eastAsia="ＭＳ 明朝" w:hAnsi="ＭＳ 明朝" w:cs="ＭＳ 明朝"/>
                      <w:sz w:val="20"/>
                      <w:szCs w:val="20"/>
                    </w:rPr>
                  </w:pPr>
                  <w:r>
                    <w:rPr>
                      <w:rFonts w:ascii="ＭＳ 明朝" w:eastAsia="ＭＳ 明朝" w:hAnsi="ＭＳ 明朝" w:cs="ＭＳ 明朝"/>
                      <w:sz w:val="20"/>
                      <w:szCs w:val="20"/>
                    </w:rPr>
                    <w:t>2. デジタルツールの導入による業務効率化</w:t>
                  </w:r>
                </w:p>
                <w:p w:rsidR="00C82E6A" w:rsidRDefault="00000000">
                  <w:pPr>
                    <w:spacing w:after="120" w:line="238" w:lineRule="auto"/>
                    <w:jc w:val="left"/>
                    <w:rPr>
                      <w:rFonts w:ascii="ＭＳ 明朝" w:eastAsia="ＭＳ 明朝" w:hAnsi="ＭＳ 明朝" w:cs="ＭＳ 明朝"/>
                      <w:sz w:val="20"/>
                      <w:szCs w:val="20"/>
                    </w:rPr>
                  </w:pPr>
                  <w:r>
                    <w:rPr>
                      <w:rFonts w:ascii="ＭＳ 明朝" w:eastAsia="ＭＳ 明朝" w:hAnsi="ＭＳ 明朝" w:cs="ＭＳ 明朝"/>
                      <w:sz w:val="20"/>
                      <w:szCs w:val="20"/>
                    </w:rPr>
                    <w:t>3. データを基盤とした顧客価値の向上</w:t>
                  </w:r>
                </w:p>
                <w:p w:rsidR="00C82E6A" w:rsidRDefault="00000000">
                  <w:pPr>
                    <w:spacing w:after="120" w:line="238" w:lineRule="auto"/>
                    <w:jc w:val="left"/>
                    <w:rPr>
                      <w:rFonts w:ascii="ＭＳ 明朝" w:eastAsia="ＭＳ 明朝" w:hAnsi="ＭＳ 明朝" w:cs="ＭＳ 明朝"/>
                      <w:sz w:val="20"/>
                      <w:szCs w:val="20"/>
                    </w:rPr>
                  </w:pPr>
                  <w:r>
                    <w:rPr>
                      <w:rFonts w:ascii="Arial" w:eastAsia="Arial" w:hAnsi="Arial" w:cs="Arial"/>
                      <w:sz w:val="20"/>
                      <w:szCs w:val="20"/>
                    </w:rPr>
                    <w:t xml:space="preserve">URL: </w:t>
                  </w:r>
                  <w:r>
                    <w:rPr>
                      <w:rFonts w:ascii="ＭＳ 明朝" w:eastAsia="ＭＳ 明朝" w:hAnsi="ＭＳ 明朝" w:cs="ＭＳ 明朝"/>
                      <w:sz w:val="20"/>
                      <w:szCs w:val="20"/>
                    </w:rPr>
                    <w:t>https://okinawapress.jp/dx/</w:t>
                  </w:r>
                </w:p>
              </w:tc>
            </w:tr>
            <w:tr w:rsidR="00C82E6A">
              <w:trPr>
                <w:trHeight w:val="353"/>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DX戦略の柱</w:t>
                  </w: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当社のDX戦略は、以下の3つの主要な取り組みを軸に展開しています。</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1. AI・データ活用による業務プロセスの最適化</w:t>
                  </w: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最新のAI技術とビジネスインテリジェンス（BI）ツールを活用し、データ分析を基軸とした業務プロセスの最適化を図ります。これにより、以下の効果を期待しています。</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•生産性向上：リアルタイムのデータ分析により、業務効率を最大化</w:t>
                  </w: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•リスク管理：AIによるリスク予測モデルを活用し、品質リスクの事前検知</w:t>
                  </w: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•意思決定の迅速化：データドリブン経営の実現により、戦略的な意思決定を支援​</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2. デジタルツールの導入による業務効率化</w:t>
                  </w: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ペーパーレス化、SaaS導入、RPA（ロボティック・プロセス・オートメーション）を活用し、業務の自動化・効率化を推進します。</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クラウド基盤の整備：データを一元管理し、社内外の情報共有を円滑化</w:t>
                  </w: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自動化プロセスの構築：反復作業のRPA化により、人的リソースを戦略業務に集中</w:t>
                  </w: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ペーパーレス化の徹底：紙ベースの業務を完全デジタル化し、情報管理を強化</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lastRenderedPageBreak/>
                    <w:t>3. データを基盤とした顧客価値の向上</w:t>
                  </w: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データ活用を軸に、顧客ニーズに応じた最適なサービス提供を目指します。</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CRM・SFAの導入：営業プロセスのデジタル化により、顧客情報を一元管理</w:t>
                  </w: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顧客満足度の向上：データ分析による顧客インサイトの取得とパーソナライズ戦略の強化</w:t>
                  </w: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フィードバックループの確立：顧客の声をリアルタイムで収集し、継続的なサービス改善を実施​</w:t>
                  </w:r>
                </w:p>
              </w:tc>
            </w:tr>
            <w:tr w:rsidR="00C82E6A">
              <w:trPr>
                <w:trHeight w:val="69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lastRenderedPageBreak/>
                    <w:t>意思決定機関の決定に基づいていることの説明</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取締役会において承認のうえ公表</w:t>
                  </w:r>
                </w:p>
              </w:tc>
            </w:tr>
          </w:tbl>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① 戦略を効果的に進めるための体制の提示</w:t>
            </w:r>
          </w:p>
          <w:tbl>
            <w:tblPr>
              <w:tblStyle w:val="a8"/>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C82E6A">
              <w:trPr>
                <w:trHeight w:val="70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戦略における記載箇所・ページ</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sz w:val="20"/>
                      <w:szCs w:val="20"/>
                    </w:rPr>
                  </w:pPr>
                  <w:r>
                    <w:rPr>
                      <w:rFonts w:ascii="Arial Unicode MS" w:eastAsia="Arial Unicode MS" w:hAnsi="Arial Unicode MS" w:cs="Arial Unicode MS"/>
                      <w:sz w:val="20"/>
                      <w:szCs w:val="20"/>
                    </w:rPr>
                    <w:t xml:space="preserve">見出し: </w:t>
                  </w:r>
                  <w:r>
                    <w:rPr>
                      <w:rFonts w:ascii="ＭＳ 明朝" w:eastAsia="ＭＳ 明朝" w:hAnsi="ＭＳ 明朝" w:cs="ＭＳ 明朝"/>
                      <w:sz w:val="20"/>
                      <w:szCs w:val="20"/>
                    </w:rPr>
                    <w:t>DX推進体制</w:t>
                  </w:r>
                </w:p>
                <w:p w:rsidR="00C82E6A" w:rsidRDefault="00000000">
                  <w:pPr>
                    <w:spacing w:after="120" w:line="238" w:lineRule="auto"/>
                    <w:jc w:val="left"/>
                    <w:rPr>
                      <w:rFonts w:ascii="ＭＳ 明朝" w:eastAsia="ＭＳ 明朝" w:hAnsi="ＭＳ 明朝" w:cs="ＭＳ 明朝"/>
                    </w:rPr>
                  </w:pPr>
                  <w:r>
                    <w:rPr>
                      <w:rFonts w:ascii="Arial" w:eastAsia="Arial" w:hAnsi="Arial" w:cs="Arial"/>
                      <w:sz w:val="20"/>
                      <w:szCs w:val="20"/>
                    </w:rPr>
                    <w:t xml:space="preserve">URL: </w:t>
                  </w:r>
                  <w:r>
                    <w:rPr>
                      <w:rFonts w:ascii="ＭＳ 明朝" w:eastAsia="ＭＳ 明朝" w:hAnsi="ＭＳ 明朝" w:cs="ＭＳ 明朝"/>
                      <w:sz w:val="20"/>
                      <w:szCs w:val="20"/>
                    </w:rPr>
                    <w:t>https://okinawapress.jp/dx/</w:t>
                  </w:r>
                </w:p>
              </w:tc>
            </w:tr>
            <w:tr w:rsidR="00C82E6A">
              <w:trPr>
                <w:trHeight w:val="69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sz w:val="20"/>
                      <w:szCs w:val="20"/>
                    </w:rPr>
                  </w:pPr>
                  <w:r>
                    <w:rPr>
                      <w:rFonts w:ascii="ＭＳ 明朝" w:eastAsia="ＭＳ 明朝" w:hAnsi="ＭＳ 明朝" w:cs="ＭＳ 明朝"/>
                      <w:sz w:val="20"/>
                      <w:szCs w:val="20"/>
                    </w:rPr>
                    <w:t>DX推進体制</w:t>
                  </w:r>
                </w:p>
                <w:p w:rsidR="00C82E6A" w:rsidRDefault="00000000">
                  <w:pPr>
                    <w:spacing w:after="120" w:line="238" w:lineRule="auto"/>
                    <w:jc w:val="left"/>
                    <w:rPr>
                      <w:rFonts w:ascii="ＭＳ 明朝" w:eastAsia="ＭＳ 明朝" w:hAnsi="ＭＳ 明朝" w:cs="ＭＳ 明朝"/>
                      <w:sz w:val="20"/>
                      <w:szCs w:val="20"/>
                    </w:rPr>
                  </w:pPr>
                  <w:r>
                    <w:rPr>
                      <w:rFonts w:ascii="ＭＳ 明朝" w:eastAsia="ＭＳ 明朝" w:hAnsi="ＭＳ 明朝" w:cs="ＭＳ 明朝"/>
                      <w:sz w:val="20"/>
                      <w:szCs w:val="20"/>
                    </w:rPr>
                    <w:t>当社は、DX戦略を実現するため、以下のような体制を整備しています。</w:t>
                  </w:r>
                </w:p>
                <w:p w:rsidR="00C82E6A" w:rsidRDefault="00C82E6A">
                  <w:pPr>
                    <w:spacing w:after="120" w:line="238" w:lineRule="auto"/>
                    <w:jc w:val="left"/>
                    <w:rPr>
                      <w:rFonts w:ascii="ＭＳ 明朝" w:eastAsia="ＭＳ 明朝" w:hAnsi="ＭＳ 明朝" w:cs="ＭＳ 明朝"/>
                      <w:sz w:val="20"/>
                      <w:szCs w:val="20"/>
                    </w:rPr>
                  </w:pPr>
                </w:p>
                <w:p w:rsidR="00C82E6A" w:rsidRDefault="00000000">
                  <w:pPr>
                    <w:spacing w:after="120" w:line="238" w:lineRule="auto"/>
                    <w:jc w:val="left"/>
                    <w:rPr>
                      <w:rFonts w:ascii="ＭＳ 明朝" w:eastAsia="ＭＳ 明朝" w:hAnsi="ＭＳ 明朝" w:cs="ＭＳ 明朝"/>
                      <w:sz w:val="20"/>
                      <w:szCs w:val="20"/>
                    </w:rPr>
                  </w:pPr>
                  <w:r>
                    <w:rPr>
                      <w:rFonts w:ascii="ＭＳ 明朝" w:eastAsia="ＭＳ 明朝" w:hAnsi="ＭＳ 明朝" w:cs="ＭＳ 明朝"/>
                      <w:sz w:val="20"/>
                      <w:szCs w:val="20"/>
                    </w:rPr>
                    <w:t>• DX推進チームの設置：経営層と各部門のDXリーダーが連携し、全社的な戦略推進を実施</w:t>
                  </w:r>
                </w:p>
                <w:p w:rsidR="00C82E6A" w:rsidRDefault="00000000">
                  <w:pPr>
                    <w:spacing w:after="120" w:line="238" w:lineRule="auto"/>
                    <w:jc w:val="left"/>
                    <w:rPr>
                      <w:rFonts w:ascii="ＭＳ 明朝" w:eastAsia="ＭＳ 明朝" w:hAnsi="ＭＳ 明朝" w:cs="ＭＳ 明朝"/>
                      <w:sz w:val="20"/>
                      <w:szCs w:val="20"/>
                    </w:rPr>
                  </w:pPr>
                  <w:r>
                    <w:rPr>
                      <w:rFonts w:ascii="ＭＳ 明朝" w:eastAsia="ＭＳ 明朝" w:hAnsi="ＭＳ 明朝" w:cs="ＭＳ 明朝"/>
                      <w:sz w:val="20"/>
                      <w:szCs w:val="20"/>
                    </w:rPr>
                    <w:t>• デジタル人材の育成：ITリスキリングを通じて、社員のデジタルスキル向上を支援</w:t>
                  </w:r>
                </w:p>
                <w:p w:rsidR="00C82E6A" w:rsidRDefault="00000000">
                  <w:pPr>
                    <w:spacing w:after="120" w:line="238" w:lineRule="auto"/>
                    <w:jc w:val="left"/>
                    <w:rPr>
                      <w:rFonts w:ascii="ＭＳ 明朝" w:eastAsia="ＭＳ 明朝" w:hAnsi="ＭＳ 明朝" w:cs="ＭＳ 明朝"/>
                      <w:sz w:val="20"/>
                      <w:szCs w:val="20"/>
                    </w:rPr>
                  </w:pPr>
                  <w:r>
                    <w:rPr>
                      <w:rFonts w:ascii="ＭＳ 明朝" w:eastAsia="ＭＳ 明朝" w:hAnsi="ＭＳ 明朝" w:cs="ＭＳ 明朝"/>
                      <w:sz w:val="20"/>
                      <w:szCs w:val="20"/>
                    </w:rPr>
                    <w:t>• データガバナンスの強化：データセキュリティの確保とコンプライアンス遵守を徹底</w:t>
                  </w:r>
                </w:p>
              </w:tc>
            </w:tr>
          </w:tbl>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② 最新の情報処理技術を活用するための環境整備の具体的方策の提示</w:t>
            </w:r>
          </w:p>
          <w:tbl>
            <w:tblPr>
              <w:tblStyle w:val="a9"/>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C82E6A">
              <w:trPr>
                <w:trHeight w:val="70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戦略における記載箇所・ページ</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rPr>
                  </w:pPr>
                  <w:r>
                    <w:rPr>
                      <w:rFonts w:ascii="Arial Unicode MS" w:eastAsia="Arial Unicode MS" w:hAnsi="Arial Unicode MS" w:cs="Arial Unicode MS"/>
                      <w:sz w:val="20"/>
                      <w:szCs w:val="20"/>
                    </w:rPr>
                    <w:t xml:space="preserve">見出し: </w:t>
                  </w:r>
                  <w:r>
                    <w:rPr>
                      <w:rFonts w:ascii="Arial Unicode MS" w:eastAsia="Arial Unicode MS" w:hAnsi="Arial Unicode MS" w:cs="Arial Unicode MS"/>
                      <w:color w:val="333333"/>
                      <w:sz w:val="22"/>
                      <w:szCs w:val="22"/>
                    </w:rPr>
                    <w:t>クラウドインフラ整備​</w:t>
                  </w:r>
                </w:p>
                <w:p w:rsidR="00C82E6A" w:rsidRDefault="00000000">
                  <w:pPr>
                    <w:spacing w:after="120" w:line="238" w:lineRule="auto"/>
                    <w:jc w:val="left"/>
                    <w:rPr>
                      <w:rFonts w:ascii="ＭＳ 明朝" w:eastAsia="ＭＳ 明朝" w:hAnsi="ＭＳ 明朝" w:cs="ＭＳ 明朝"/>
                    </w:rPr>
                  </w:pPr>
                  <w:r>
                    <w:rPr>
                      <w:rFonts w:ascii="Arial" w:eastAsia="Arial" w:hAnsi="Arial" w:cs="Arial"/>
                      <w:sz w:val="20"/>
                      <w:szCs w:val="20"/>
                    </w:rPr>
                    <w:t xml:space="preserve">URL: </w:t>
                  </w:r>
                  <w:r>
                    <w:rPr>
                      <w:rFonts w:ascii="ＭＳ 明朝" w:eastAsia="ＭＳ 明朝" w:hAnsi="ＭＳ 明朝" w:cs="ＭＳ 明朝"/>
                      <w:sz w:val="20"/>
                      <w:szCs w:val="20"/>
                    </w:rPr>
                    <w:t>https://okinawapress.jp/dx/</w:t>
                  </w:r>
                </w:p>
              </w:tc>
            </w:tr>
            <w:tr w:rsidR="00C82E6A">
              <w:trPr>
                <w:trHeight w:val="69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shd w:val="clear" w:color="auto" w:fill="auto"/>
                </w:tcPr>
                <w:p w:rsidR="00C82E6A" w:rsidRDefault="00000000">
                  <w:pPr>
                    <w:pStyle w:val="4"/>
                    <w:keepNext w:val="0"/>
                    <w:keepLines w:val="0"/>
                    <w:shd w:val="clear" w:color="auto" w:fill="FFFFFF"/>
                    <w:spacing w:before="0" w:after="0" w:line="238" w:lineRule="auto"/>
                    <w:jc w:val="left"/>
                    <w:rPr>
                      <w:rFonts w:ascii="ＭＳ 明朝" w:eastAsia="ＭＳ 明朝" w:hAnsi="ＭＳ 明朝" w:cs="ＭＳ 明朝"/>
                      <w:b w:val="0"/>
                    </w:rPr>
                  </w:pPr>
                  <w:bookmarkStart w:id="2" w:name="_6hi6h7ahelwm" w:colFirst="0" w:colLast="0"/>
                  <w:bookmarkEnd w:id="2"/>
                  <w:r>
                    <w:rPr>
                      <w:rFonts w:ascii="Arial Unicode MS" w:eastAsia="Arial Unicode MS" w:hAnsi="Arial Unicode MS" w:cs="Arial Unicode MS"/>
                      <w:b w:val="0"/>
                      <w:color w:val="333333"/>
                      <w:sz w:val="22"/>
                      <w:szCs w:val="22"/>
                    </w:rPr>
                    <w:t>クラウドインフラ整備​</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データ活用の高度化と業務効率の向上を実現するために、クラウドベースのITインフラを整備し、データの一元管理を行います。</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•ハイブリッドクラウドの導入：社内業務システムをクラウド環境へ移行し、オンプレミスと連携するハイブリッドクラウドを導入。これにより、安全性を確保しつつ、柔軟なリソース管理を可能にします。</w:t>
                  </w: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•データレイクの構築：各部門で発生する業務データを一元管理するデータレイクを構築し、リアルタイムの分析環境を整備。</w:t>
                  </w: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lastRenderedPageBreak/>
                    <w:t>•BIツールの活用：データの可視化を促進し、リアルタイムでのKPIモニタリングを可能にするBIツールを導入。</w:t>
                  </w:r>
                </w:p>
              </w:tc>
            </w:tr>
          </w:tbl>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(3) 戦略の達成状況に係る指標の決定</w:t>
            </w:r>
          </w:p>
          <w:tbl>
            <w:tblPr>
              <w:tblStyle w:val="aa"/>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C82E6A">
              <w:trPr>
                <w:trHeight w:val="70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shd w:val="clear" w:color="auto" w:fill="auto"/>
                </w:tcPr>
                <w:p w:rsidR="00C82E6A" w:rsidRDefault="00000000">
                  <w:pPr>
                    <w:pStyle w:val="2"/>
                    <w:keepNext w:val="0"/>
                    <w:keepLines w:val="0"/>
                    <w:spacing w:before="0" w:after="0" w:line="238" w:lineRule="auto"/>
                    <w:jc w:val="left"/>
                    <w:rPr>
                      <w:rFonts w:ascii="Arial" w:eastAsia="Arial" w:hAnsi="Arial" w:cs="Arial"/>
                      <w:sz w:val="20"/>
                      <w:szCs w:val="20"/>
                    </w:rPr>
                  </w:pPr>
                  <w:bookmarkStart w:id="3" w:name="_h6flhqwykrqq" w:colFirst="0" w:colLast="0"/>
                  <w:bookmarkEnd w:id="3"/>
                  <w:r>
                    <w:rPr>
                      <w:rFonts w:ascii="Arial Unicode MS" w:eastAsia="Arial Unicode MS" w:hAnsi="Arial Unicode MS" w:cs="Arial Unicode MS"/>
                      <w:b w:val="0"/>
                      <w:sz w:val="20"/>
                      <w:szCs w:val="20"/>
                    </w:rPr>
                    <w:t>DX推進活動</w:t>
                  </w:r>
                </w:p>
              </w:tc>
            </w:tr>
            <w:tr w:rsidR="00C82E6A">
              <w:trPr>
                <w:trHeight w:val="69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公表日</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2025年　2月　18日</w:t>
                  </w:r>
                </w:p>
                <w:p w:rsidR="00C82E6A" w:rsidRDefault="00C82E6A">
                  <w:pPr>
                    <w:spacing w:after="120" w:line="238" w:lineRule="auto"/>
                    <w:jc w:val="left"/>
                    <w:rPr>
                      <w:rFonts w:ascii="ＭＳ 明朝" w:eastAsia="ＭＳ 明朝" w:hAnsi="ＭＳ 明朝" w:cs="ＭＳ 明朝"/>
                    </w:rPr>
                  </w:pPr>
                </w:p>
              </w:tc>
            </w:tr>
            <w:tr w:rsidR="00C82E6A">
              <w:trPr>
                <w:trHeight w:val="70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公表方法・公表場所・記載箇所・ページ</w:t>
                  </w:r>
                </w:p>
              </w:tc>
              <w:tc>
                <w:tcPr>
                  <w:tcW w:w="5890" w:type="dxa"/>
                  <w:shd w:val="clear" w:color="auto" w:fill="auto"/>
                </w:tcPr>
                <w:p w:rsidR="00C82E6A" w:rsidRDefault="00000000">
                  <w:pPr>
                    <w:spacing w:after="120" w:line="238" w:lineRule="auto"/>
                    <w:jc w:val="left"/>
                    <w:rPr>
                      <w:rFonts w:ascii="Arial" w:eastAsia="Arial" w:hAnsi="Arial" w:cs="Arial"/>
                      <w:sz w:val="20"/>
                      <w:szCs w:val="20"/>
                    </w:rPr>
                  </w:pPr>
                  <w:r>
                    <w:rPr>
                      <w:rFonts w:ascii="Arial Unicode MS" w:eastAsia="Arial Unicode MS" w:hAnsi="Arial Unicode MS" w:cs="Arial Unicode MS"/>
                      <w:sz w:val="20"/>
                      <w:szCs w:val="20"/>
                    </w:rPr>
                    <w:t>見出し: DX戦略の達成指標（KPI）</w:t>
                  </w:r>
                </w:p>
                <w:p w:rsidR="00C82E6A" w:rsidRDefault="00000000">
                  <w:pPr>
                    <w:spacing w:after="120" w:line="238" w:lineRule="auto"/>
                    <w:jc w:val="left"/>
                    <w:rPr>
                      <w:rFonts w:ascii="ＭＳ 明朝" w:eastAsia="ＭＳ 明朝" w:hAnsi="ＭＳ 明朝" w:cs="ＭＳ 明朝"/>
                    </w:rPr>
                  </w:pPr>
                  <w:r>
                    <w:rPr>
                      <w:rFonts w:ascii="Arial" w:eastAsia="Arial" w:hAnsi="Arial" w:cs="Arial"/>
                      <w:sz w:val="20"/>
                      <w:szCs w:val="20"/>
                    </w:rPr>
                    <w:t xml:space="preserve">URL: </w:t>
                  </w:r>
                  <w:r>
                    <w:rPr>
                      <w:rFonts w:ascii="ＭＳ 明朝" w:eastAsia="ＭＳ 明朝" w:hAnsi="ＭＳ 明朝" w:cs="ＭＳ 明朝"/>
                      <w:sz w:val="20"/>
                      <w:szCs w:val="20"/>
                    </w:rPr>
                    <w:t>https://okinawapress.jp/dx/</w:t>
                  </w:r>
                </w:p>
              </w:tc>
            </w:tr>
            <w:tr w:rsidR="00C82E6A">
              <w:trPr>
                <w:trHeight w:val="69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shd w:val="clear" w:color="auto" w:fill="auto"/>
                </w:tcPr>
                <w:p w:rsidR="00C82E6A" w:rsidRDefault="00000000">
                  <w:pPr>
                    <w:shd w:val="clear" w:color="auto" w:fill="FFFFFF"/>
                    <w:spacing w:line="238" w:lineRule="auto"/>
                    <w:jc w:val="left"/>
                    <w:rPr>
                      <w:rFonts w:ascii="Arial" w:eastAsia="Arial" w:hAnsi="Arial" w:cs="Arial"/>
                      <w:sz w:val="24"/>
                      <w:szCs w:val="24"/>
                    </w:rPr>
                  </w:pPr>
                  <w:r>
                    <w:rPr>
                      <w:rFonts w:ascii="Arial Unicode MS" w:eastAsia="Arial Unicode MS" w:hAnsi="Arial Unicode MS" w:cs="Arial Unicode MS"/>
                      <w:sz w:val="20"/>
                      <w:szCs w:val="20"/>
                    </w:rPr>
                    <w:t>DX戦略の進捗を測定し、継続的な改善を行うために、以下の指標を設定しています</w:t>
                  </w:r>
                  <w:r>
                    <w:rPr>
                      <w:rFonts w:ascii="Arial Unicode MS" w:eastAsia="Arial Unicode MS" w:hAnsi="Arial Unicode MS" w:cs="Arial Unicode MS"/>
                      <w:sz w:val="24"/>
                      <w:szCs w:val="24"/>
                    </w:rPr>
                    <w:t>。</w:t>
                  </w:r>
                </w:p>
                <w:p w:rsidR="00C82E6A" w:rsidRDefault="00C82E6A">
                  <w:pPr>
                    <w:shd w:val="clear" w:color="auto" w:fill="FFFFFF"/>
                    <w:spacing w:line="238" w:lineRule="auto"/>
                    <w:jc w:val="left"/>
                    <w:rPr>
                      <w:rFonts w:ascii="Arial" w:eastAsia="Arial" w:hAnsi="Arial" w:cs="Arial"/>
                      <w:sz w:val="24"/>
                      <w:szCs w:val="24"/>
                    </w:rPr>
                  </w:pPr>
                </w:p>
                <w:p w:rsidR="00C82E6A" w:rsidRDefault="00000000">
                  <w:pPr>
                    <w:spacing w:after="120" w:line="238" w:lineRule="auto"/>
                    <w:jc w:val="left"/>
                    <w:rPr>
                      <w:rFonts w:ascii="ＭＳ 明朝" w:eastAsia="ＭＳ 明朝" w:hAnsi="ＭＳ 明朝" w:cs="ＭＳ 明朝"/>
                    </w:rPr>
                  </w:pPr>
                  <w:r>
                    <w:rPr>
                      <w:rFonts w:ascii="Arial Unicode MS" w:eastAsia="Arial Unicode MS" w:hAnsi="Arial Unicode MS" w:cs="Arial Unicode MS"/>
                      <w:sz w:val="20"/>
                      <w:szCs w:val="20"/>
                      <w:highlight w:val="white"/>
                    </w:rPr>
                    <w:t>業務効率化による時間削減率：20%以上</w:t>
                  </w:r>
                  <w:r>
                    <w:rPr>
                      <w:rFonts w:ascii="Arial Unicode MS" w:eastAsia="Arial Unicode MS" w:hAnsi="Arial Unicode MS" w:cs="Arial Unicode MS"/>
                      <w:sz w:val="20"/>
                      <w:szCs w:val="20"/>
                      <w:highlight w:val="white"/>
                    </w:rPr>
                    <w:br/>
                    <w:t>AIリスク予測の精度：85%以上</w:t>
                  </w:r>
                  <w:r>
                    <w:rPr>
                      <w:rFonts w:ascii="Arial Unicode MS" w:eastAsia="Arial Unicode MS" w:hAnsi="Arial Unicode MS" w:cs="Arial Unicode MS"/>
                      <w:sz w:val="20"/>
                      <w:szCs w:val="20"/>
                      <w:highlight w:val="white"/>
                    </w:rPr>
                    <w:br/>
                    <w:t>DX導入による生産性向上率：30%以上</w:t>
                  </w:r>
                  <w:r>
                    <w:rPr>
                      <w:rFonts w:ascii="Arial Unicode MS" w:eastAsia="Arial Unicode MS" w:hAnsi="Arial Unicode MS" w:cs="Arial Unicode MS"/>
                      <w:sz w:val="20"/>
                      <w:szCs w:val="20"/>
                      <w:highlight w:val="white"/>
                    </w:rPr>
                    <w:br/>
                    <w:t>顧客満足度（NPS）：前年比+15%</w:t>
                  </w:r>
                  <w:r>
                    <w:rPr>
                      <w:rFonts w:ascii="Arial Unicode MS" w:eastAsia="Arial Unicode MS" w:hAnsi="Arial Unicode MS" w:cs="Arial Unicode MS"/>
                      <w:sz w:val="20"/>
                      <w:szCs w:val="20"/>
                      <w:highlight w:val="white"/>
                    </w:rPr>
                    <w:br/>
                    <w:t>デジタル活用による売上向上率：10%以上</w:t>
                  </w:r>
                </w:p>
              </w:tc>
            </w:tr>
          </w:tbl>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(4) 実務執行総括責任者による効果的な戦略の推進等を図るために必要な情報発信</w:t>
            </w:r>
          </w:p>
          <w:tbl>
            <w:tblPr>
              <w:tblStyle w:val="ab"/>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C82E6A">
              <w:trPr>
                <w:trHeight w:val="69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発信日</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2025年　2月　18日</w:t>
                  </w:r>
                </w:p>
                <w:p w:rsidR="00C82E6A" w:rsidRDefault="00C82E6A">
                  <w:pPr>
                    <w:spacing w:after="120" w:line="238" w:lineRule="auto"/>
                    <w:jc w:val="left"/>
                    <w:rPr>
                      <w:rFonts w:ascii="ＭＳ 明朝" w:eastAsia="ＭＳ 明朝" w:hAnsi="ＭＳ 明朝" w:cs="ＭＳ 明朝"/>
                    </w:rPr>
                  </w:pPr>
                </w:p>
              </w:tc>
            </w:tr>
            <w:tr w:rsidR="00C82E6A">
              <w:trPr>
                <w:trHeight w:val="70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発信方法</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rPr>
                  </w:pPr>
                  <w:r>
                    <w:rPr>
                      <w:rFonts w:ascii="Arial Unicode MS" w:eastAsia="Arial Unicode MS" w:hAnsi="Arial Unicode MS" w:cs="Arial Unicode MS"/>
                      <w:sz w:val="20"/>
                      <w:szCs w:val="20"/>
                    </w:rPr>
                    <w:t>ページ: DX推進活動</w:t>
                  </w:r>
                  <w:r>
                    <w:rPr>
                      <w:rFonts w:ascii="Arial Unicode MS" w:eastAsia="Arial Unicode MS" w:hAnsi="Arial Unicode MS" w:cs="Arial Unicode MS"/>
                      <w:sz w:val="20"/>
                      <w:szCs w:val="20"/>
                    </w:rPr>
                    <w:br/>
                    <w:t>見出し: DX推進に向けた経営者メッセージ</w:t>
                  </w:r>
                  <w:r>
                    <w:rPr>
                      <w:rFonts w:ascii="Arial Unicode MS" w:eastAsia="Arial Unicode MS" w:hAnsi="Arial Unicode MS" w:cs="Arial Unicode MS"/>
                      <w:sz w:val="20"/>
                      <w:szCs w:val="20"/>
                    </w:rPr>
                    <w:br/>
                    <w:t xml:space="preserve">URL: </w:t>
                  </w:r>
                  <w:r>
                    <w:rPr>
                      <w:rFonts w:ascii="ＭＳ 明朝" w:eastAsia="ＭＳ 明朝" w:hAnsi="ＭＳ 明朝" w:cs="ＭＳ 明朝"/>
                      <w:sz w:val="20"/>
                      <w:szCs w:val="20"/>
                    </w:rPr>
                    <w:t>https://okinawapress.jp/dx/</w:t>
                  </w:r>
                </w:p>
              </w:tc>
            </w:tr>
            <w:tr w:rsidR="00C82E6A">
              <w:trPr>
                <w:trHeight w:val="69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発信内容</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DX推進に向けた経営者メッセージ</w:t>
                  </w: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株式会社オキナワプレスは、デジタル技術とデータを活用し、より効率的で持続可能な事業運営を目指しています。DX（デジタルトランスフォーメーション）を経営の軸とし、業務の効率化、サービスの向上、新たな価値創造に取り組んでいます。そのために、以下の3つの重点施策を推進しています。</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1. AIとデータ活用で業務を最適化</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当社は、AIやBIツールを活用し、データをもとに業務を効率化しています。リアルタイムのデータ分析により、プロジェクトの進捗や課題を可視化し、より的確な判断ができるようにしています。さらに、AIを活用して品質管理を強化し、リスクの早期発見や業務の安定化を実現しています。</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lastRenderedPageBreak/>
                    <w:t>2. 事業プロセスの透明化とスピードアップ</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クラウド技術を活用し、データや業務アプリケーションを一元管理することで、どこからでもスムーズに業務を行える環境を整えています。また、RPA（ロボティック・プロセス・オートメーション）を導入し、繰り返し作業を自動化。さらに、アジャイル開発を採用することで、市場の変化やお客様の要望に素早く対応できる体制を構築しています。</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3. 顧客との関係強化とサービス向上</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AIとデータ分析を活用し、お客様一人ひとりに最適なサービスを提供します。CRM（顧客管理システム）やビジネスチャットを活用し、迅速かつスムーズなコミュニケーションを実現。さらに、お客様の声をリアルタイムで収集・分析し、サービス改善につなげることで、より満足度の高い体験を提供していきます。</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私たちは、デジタル技術を活用することで、お客様により良い価値を提供し続ける企業を目指します。DXを推進し、時代の変化に対応しながら、新たな成長とイノベーションを生み出してまいります。</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株式会社オキナワプレス</w:t>
                  </w:r>
                  <w:r>
                    <w:rPr>
                      <w:rFonts w:ascii="ＭＳ 明朝" w:eastAsia="ＭＳ 明朝" w:hAnsi="ＭＳ 明朝" w:cs="ＭＳ 明朝"/>
                    </w:rPr>
                    <w:br/>
                    <w:t>代表取締役　玉那覇竜也</w:t>
                  </w:r>
                </w:p>
              </w:tc>
            </w:tr>
          </w:tbl>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(5) 実務執行総括責任者が主導的な役割を果たすことによる、事業者が利用する情報処理システムにおける課題の把握</w:t>
            </w:r>
          </w:p>
          <w:tbl>
            <w:tblPr>
              <w:tblStyle w:val="ac"/>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C82E6A">
              <w:trPr>
                <w:trHeight w:val="70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実施時期</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2024年　　8月頃　～　継続実施中</w:t>
                  </w:r>
                </w:p>
                <w:p w:rsidR="00C82E6A" w:rsidRDefault="00C82E6A">
                  <w:pPr>
                    <w:spacing w:after="120" w:line="238" w:lineRule="auto"/>
                    <w:jc w:val="left"/>
                    <w:rPr>
                      <w:rFonts w:ascii="ＭＳ 明朝" w:eastAsia="ＭＳ 明朝" w:hAnsi="ＭＳ 明朝" w:cs="ＭＳ 明朝"/>
                    </w:rPr>
                  </w:pPr>
                </w:p>
              </w:tc>
            </w:tr>
            <w:tr w:rsidR="00C82E6A">
              <w:trPr>
                <w:trHeight w:val="70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当社は、情報処理システムの最適化とDX推進を加速するため、実務執行総括責任者が主導して現状の課題を把握し、継続的な改善を行っています。その一環として、IPAが提供するDX推進指標を活用し、自己診断を実施。これにより、当社の情報処理システムにおける強みと改善点を可視化し、戦略的な対応策を策定しています。</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自己診断の結果はIPAに提出し、業界全体のベンチマークデータと比較することで、当社のデジタル活用度を客観的に評価。これに基づき、システムの最適化や業務プロセスの改善、セキュリティ強化など、具体的なアクションプランを策定しています。</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また、診断結果を経営層や各部門と共有し、定期的なレビューを実施することで、システムの課題を早期に特定し、持続的なDX推進につなげています。今後も、データに基づ</w:t>
                  </w:r>
                  <w:r>
                    <w:rPr>
                      <w:rFonts w:ascii="ＭＳ 明朝" w:eastAsia="ＭＳ 明朝" w:hAnsi="ＭＳ 明朝" w:cs="ＭＳ 明朝"/>
                    </w:rPr>
                    <w:lastRenderedPageBreak/>
                    <w:t>いた改善を継続し、より効率的かつ安全な情報処理環境の構築を目指します。</w:t>
                  </w:r>
                </w:p>
              </w:tc>
            </w:tr>
          </w:tbl>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(6) サイバーセキュリティに関する対策の的確な策定及び実施</w:t>
            </w:r>
          </w:p>
          <w:tbl>
            <w:tblPr>
              <w:tblStyle w:val="ad"/>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C82E6A">
              <w:trPr>
                <w:trHeight w:val="70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実施時期</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2024年　　8月頃　～　2024年　　12月頃</w:t>
                  </w:r>
                </w:p>
                <w:p w:rsidR="00C82E6A" w:rsidRDefault="00C82E6A">
                  <w:pPr>
                    <w:spacing w:after="120" w:line="238" w:lineRule="auto"/>
                    <w:jc w:val="left"/>
                    <w:rPr>
                      <w:rFonts w:ascii="ＭＳ 明朝" w:eastAsia="ＭＳ 明朝" w:hAnsi="ＭＳ 明朝" w:cs="ＭＳ 明朝"/>
                    </w:rPr>
                  </w:pPr>
                </w:p>
              </w:tc>
            </w:tr>
            <w:tr w:rsidR="00C82E6A">
              <w:trPr>
                <w:trHeight w:val="697"/>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当社は情報セキュリティ基本方針を制定し、SECURITY ACTION制度に基づき自己宣言（二つ星）を実施しています。</w:t>
                  </w:r>
                </w:p>
              </w:tc>
            </w:tr>
          </w:tbl>
          <w:p w:rsidR="00C82E6A" w:rsidRDefault="00C82E6A">
            <w:pPr>
              <w:spacing w:line="238" w:lineRule="auto"/>
              <w:rPr>
                <w:rFonts w:ascii="ＭＳ 明朝" w:eastAsia="ＭＳ 明朝" w:hAnsi="ＭＳ 明朝" w:cs="ＭＳ 明朝"/>
              </w:rPr>
            </w:pPr>
          </w:p>
          <w:p w:rsidR="00C82E6A" w:rsidRDefault="00000000">
            <w:pPr>
              <w:spacing w:line="238" w:lineRule="auto"/>
              <w:rPr>
                <w:rFonts w:ascii="ＭＳ 明朝" w:eastAsia="ＭＳ 明朝" w:hAnsi="ＭＳ 明朝" w:cs="ＭＳ 明朝"/>
              </w:rPr>
            </w:pPr>
            <w:r>
              <w:rPr>
                <w:rFonts w:ascii="ＭＳ 明朝" w:eastAsia="ＭＳ 明朝" w:hAnsi="ＭＳ 明朝" w:cs="ＭＳ 明朝"/>
              </w:rPr>
              <w:t>（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00C82E6A" w:rsidRDefault="00000000">
            <w:pPr>
              <w:pBdr>
                <w:top w:val="nil"/>
                <w:left w:val="nil"/>
                <w:bottom w:val="nil"/>
                <w:right w:val="nil"/>
                <w:between w:val="nil"/>
              </w:pBdr>
              <w:spacing w:line="238" w:lineRule="auto"/>
              <w:ind w:left="715" w:hanging="426"/>
              <w:rPr>
                <w:rFonts w:ascii="ＭＳ 明朝" w:eastAsia="ＭＳ 明朝" w:hAnsi="ＭＳ 明朝" w:cs="ＭＳ 明朝"/>
                <w:color w:val="000000"/>
              </w:rPr>
            </w:pPr>
            <w:r>
              <w:rPr>
                <w:rFonts w:ascii="ＭＳ 明朝" w:eastAsia="ＭＳ 明朝" w:hAnsi="ＭＳ 明朝" w:cs="ＭＳ 明朝"/>
                <w:color w:val="000000"/>
              </w:rPr>
              <w:t>①　(1)～(3)の取組における、公表を行っていることを明らかにする書類（公表先のウェブサイトの画面を印刷した書類等）</w:t>
            </w:r>
          </w:p>
          <w:p w:rsidR="00C82E6A" w:rsidRDefault="00000000">
            <w:pPr>
              <w:pBdr>
                <w:top w:val="nil"/>
                <w:left w:val="nil"/>
                <w:bottom w:val="nil"/>
                <w:right w:val="nil"/>
                <w:between w:val="nil"/>
              </w:pBdr>
              <w:spacing w:line="238" w:lineRule="auto"/>
              <w:ind w:left="715" w:hanging="424"/>
              <w:rPr>
                <w:rFonts w:ascii="ＭＳ 明朝" w:eastAsia="ＭＳ 明朝" w:hAnsi="ＭＳ 明朝" w:cs="ＭＳ 明朝"/>
                <w:color w:val="000000"/>
              </w:rPr>
            </w:pPr>
            <w:r>
              <w:rPr>
                <w:rFonts w:ascii="ＭＳ 明朝" w:eastAsia="ＭＳ 明朝" w:hAnsi="ＭＳ 明朝" w:cs="ＭＳ 明朝"/>
                <w:color w:val="000000"/>
              </w:rPr>
              <w:t>②　(4)の取組における、情報発信を行っていることを明らかにする書類（情報発信内容を確認できるウェブサイトの画面を印刷した書類等）</w:t>
            </w:r>
          </w:p>
          <w:p w:rsidR="00C82E6A" w:rsidRDefault="00000000">
            <w:pPr>
              <w:pBdr>
                <w:top w:val="nil"/>
                <w:left w:val="nil"/>
                <w:bottom w:val="nil"/>
                <w:right w:val="nil"/>
                <w:between w:val="nil"/>
              </w:pBdr>
              <w:spacing w:line="238" w:lineRule="auto"/>
              <w:ind w:left="715" w:hanging="426"/>
              <w:rPr>
                <w:rFonts w:ascii="ＭＳ 明朝" w:eastAsia="ＭＳ 明朝" w:hAnsi="ＭＳ 明朝" w:cs="ＭＳ 明朝"/>
                <w:color w:val="000000"/>
              </w:rPr>
            </w:pPr>
            <w:r>
              <w:rPr>
                <w:rFonts w:ascii="ＭＳ 明朝" w:eastAsia="ＭＳ 明朝" w:hAnsi="ＭＳ 明朝" w:cs="ＭＳ 明朝"/>
                <w:color w:val="000000"/>
              </w:rPr>
              <w:t>③　(1)の取組における企業経営の方向性及び情報処理技術の活用の方向性、(2)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rsidR="00C82E6A" w:rsidRDefault="00000000">
            <w:pPr>
              <w:pBdr>
                <w:top w:val="nil"/>
                <w:left w:val="nil"/>
                <w:bottom w:val="nil"/>
                <w:right w:val="nil"/>
                <w:between w:val="nil"/>
              </w:pBdr>
              <w:spacing w:line="238" w:lineRule="auto"/>
              <w:ind w:left="715" w:hanging="426"/>
              <w:rPr>
                <w:rFonts w:ascii="ＭＳ 明朝" w:eastAsia="ＭＳ 明朝" w:hAnsi="ＭＳ 明朝" w:cs="ＭＳ 明朝"/>
                <w:color w:val="000000"/>
              </w:rPr>
            </w:pPr>
            <w:r>
              <w:rPr>
                <w:rFonts w:ascii="ＭＳ 明朝" w:eastAsia="ＭＳ 明朝" w:hAnsi="ＭＳ 明朝" w:cs="ＭＳ 明朝"/>
                <w:color w:val="000000"/>
              </w:rPr>
              <w:t>④　(5)～(6)の取組における、実施内容を補足説明するための書類</w:t>
            </w:r>
          </w:p>
          <w:p w:rsidR="00C82E6A" w:rsidRDefault="00C82E6A">
            <w:pPr>
              <w:pBdr>
                <w:top w:val="nil"/>
                <w:left w:val="nil"/>
                <w:bottom w:val="nil"/>
                <w:right w:val="nil"/>
                <w:between w:val="nil"/>
              </w:pBdr>
              <w:spacing w:line="238" w:lineRule="auto"/>
              <w:jc w:val="left"/>
              <w:rPr>
                <w:rFonts w:ascii="ＭＳ 明朝" w:eastAsia="ＭＳ 明朝" w:hAnsi="ＭＳ 明朝" w:cs="ＭＳ 明朝"/>
                <w:color w:val="000000"/>
              </w:rPr>
            </w:pPr>
          </w:p>
        </w:tc>
      </w:tr>
    </w:tbl>
    <w:p w:rsidR="00C82E6A" w:rsidRDefault="00000000">
      <w:pPr>
        <w:rPr>
          <w:rFonts w:ascii="ＭＳ 明朝" w:eastAsia="ＭＳ 明朝" w:hAnsi="ＭＳ 明朝" w:cs="ＭＳ 明朝"/>
          <w:sz w:val="24"/>
          <w:szCs w:val="24"/>
        </w:rPr>
      </w:pPr>
      <w:r>
        <w:rPr>
          <w:rFonts w:ascii="ＭＳ 明朝" w:eastAsia="ＭＳ 明朝" w:hAnsi="ＭＳ 明朝" w:cs="ＭＳ 明朝"/>
        </w:rPr>
        <w:lastRenderedPageBreak/>
        <w:t>備考．用紙の大きさは、日本産業規格Ａ４とすること。</w:t>
      </w:r>
    </w:p>
    <w:p w:rsidR="00C82E6A" w:rsidRDefault="00C82E6A">
      <w:pPr>
        <w:spacing w:line="318" w:lineRule="auto"/>
        <w:rPr>
          <w:rFonts w:ascii="ＭＳ 明朝" w:eastAsia="ＭＳ 明朝" w:hAnsi="ＭＳ 明朝" w:cs="ＭＳ 明朝"/>
        </w:rPr>
      </w:pPr>
    </w:p>
    <w:p w:rsidR="00C82E6A" w:rsidRDefault="00000000">
      <w:pPr>
        <w:spacing w:after="120" w:line="238" w:lineRule="auto"/>
        <w:jc w:val="left"/>
        <w:rPr>
          <w:rFonts w:ascii="ＭＳ 明朝" w:eastAsia="ＭＳ 明朝" w:hAnsi="ＭＳ 明朝" w:cs="ＭＳ 明朝"/>
        </w:rPr>
      </w:pPr>
      <w:r>
        <w:br w:type="page"/>
      </w:r>
      <w:r>
        <w:rPr>
          <w:rFonts w:ascii="ＭＳ 明朝" w:eastAsia="ＭＳ 明朝" w:hAnsi="ＭＳ 明朝" w:cs="ＭＳ 明朝"/>
        </w:rPr>
        <w:lastRenderedPageBreak/>
        <w:t>様式第１６（第４０条関係）（第四面及び第五面）</w:t>
      </w:r>
    </w:p>
    <w:p w:rsidR="00C82E6A" w:rsidRDefault="00C82E6A">
      <w:pPr>
        <w:spacing w:after="120" w:line="238" w:lineRule="auto"/>
        <w:jc w:val="left"/>
        <w:rPr>
          <w:rFonts w:ascii="ＭＳ 明朝" w:eastAsia="ＭＳ 明朝" w:hAnsi="ＭＳ 明朝" w:cs="ＭＳ 明朝"/>
        </w:rPr>
      </w:pPr>
    </w:p>
    <w:tbl>
      <w:tblPr>
        <w:tblStyle w:val="ae"/>
        <w:tblW w:w="88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88"/>
      </w:tblGrid>
      <w:tr w:rsidR="00C82E6A">
        <w:tc>
          <w:tcPr>
            <w:tcW w:w="8888" w:type="dxa"/>
            <w:shd w:val="clear" w:color="auto" w:fill="auto"/>
          </w:tcPr>
          <w:p w:rsidR="00C82E6A" w:rsidRDefault="00000000">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情報処理の促進に関する法律施行規則第４１条第２号に掲げる基準による認定を受けようとする場合は、以下についても記載すること。</w:t>
            </w:r>
          </w:p>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ind w:left="662" w:hanging="662"/>
              <w:jc w:val="left"/>
              <w:rPr>
                <w:rFonts w:ascii="ＭＳ 明朝" w:eastAsia="ＭＳ 明朝" w:hAnsi="ＭＳ 明朝" w:cs="ＭＳ 明朝"/>
              </w:rPr>
            </w:pPr>
            <w:r>
              <w:rPr>
                <w:rFonts w:ascii="ＭＳ 明朝" w:eastAsia="ＭＳ 明朝" w:hAnsi="ＭＳ 明朝" w:cs="ＭＳ 明朝"/>
              </w:rPr>
              <w:t xml:space="preserve">　(1) データ連携システムの運用及び管理に関する説明</w:t>
            </w:r>
          </w:p>
          <w:tbl>
            <w:tblPr>
              <w:tblStyle w:val="af"/>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C82E6A">
              <w:trPr>
                <w:trHeight w:val="691"/>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データ連携システムの目的、概要に関する説明</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p w:rsidR="00C82E6A" w:rsidRDefault="00C82E6A">
                  <w:pPr>
                    <w:spacing w:after="120" w:line="238" w:lineRule="auto"/>
                    <w:jc w:val="left"/>
                    <w:rPr>
                      <w:rFonts w:ascii="ＭＳ 明朝" w:eastAsia="ＭＳ 明朝" w:hAnsi="ＭＳ 明朝" w:cs="ＭＳ 明朝"/>
                    </w:rPr>
                  </w:pPr>
                </w:p>
              </w:tc>
            </w:tr>
            <w:tr w:rsidR="00C82E6A">
              <w:trPr>
                <w:trHeight w:val="691"/>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データ連携システムの運用及び管理を開始した日</w:t>
                  </w:r>
                </w:p>
              </w:tc>
              <w:tc>
                <w:tcPr>
                  <w:tcW w:w="5890" w:type="dxa"/>
                  <w:shd w:val="clear" w:color="auto" w:fill="auto"/>
                </w:tcPr>
                <w:p w:rsidR="00C82E6A"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年　　月　　日</w:t>
                  </w:r>
                </w:p>
                <w:p w:rsidR="00C82E6A" w:rsidRDefault="00C82E6A">
                  <w:pPr>
                    <w:spacing w:after="120" w:line="238" w:lineRule="auto"/>
                    <w:jc w:val="left"/>
                    <w:rPr>
                      <w:rFonts w:ascii="ＭＳ 明朝" w:eastAsia="ＭＳ 明朝" w:hAnsi="ＭＳ 明朝" w:cs="ＭＳ 明朝"/>
                    </w:rPr>
                  </w:pPr>
                </w:p>
              </w:tc>
            </w:tr>
            <w:tr w:rsidR="00C82E6A">
              <w:trPr>
                <w:trHeight w:val="691"/>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ガイドラインその他の機構が定める文書等の名称</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p w:rsidR="00C82E6A" w:rsidRDefault="00C82E6A">
                  <w:pPr>
                    <w:spacing w:after="120" w:line="238" w:lineRule="auto"/>
                    <w:jc w:val="left"/>
                    <w:rPr>
                      <w:rFonts w:ascii="ＭＳ 明朝" w:eastAsia="ＭＳ 明朝" w:hAnsi="ＭＳ 明朝" w:cs="ＭＳ 明朝"/>
                    </w:rPr>
                  </w:pPr>
                </w:p>
              </w:tc>
            </w:tr>
            <w:tr w:rsidR="00C82E6A">
              <w:trPr>
                <w:trHeight w:val="691"/>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開発、運用及び管理を共同で行うことが合理的であることの説明</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p w:rsidR="00C82E6A" w:rsidRDefault="00C82E6A">
                  <w:pPr>
                    <w:spacing w:after="120" w:line="238" w:lineRule="auto"/>
                    <w:jc w:val="left"/>
                    <w:rPr>
                      <w:rFonts w:ascii="ＭＳ 明朝" w:eastAsia="ＭＳ 明朝" w:hAnsi="ＭＳ 明朝" w:cs="ＭＳ 明朝"/>
                    </w:rPr>
                  </w:pPr>
                </w:p>
              </w:tc>
            </w:tr>
            <w:tr w:rsidR="00C82E6A">
              <w:trPr>
                <w:trHeight w:val="691"/>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データ連携システムにおいてデータ流通機能及び連携サービス機能を有することの説明</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tc>
            </w:tr>
          </w:tbl>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ind w:left="654" w:hanging="440"/>
              <w:jc w:val="left"/>
              <w:rPr>
                <w:rFonts w:ascii="ＭＳ 明朝" w:eastAsia="ＭＳ 明朝" w:hAnsi="ＭＳ 明朝" w:cs="ＭＳ 明朝"/>
              </w:rPr>
            </w:pPr>
            <w:r>
              <w:rPr>
                <w:rFonts w:ascii="ＭＳ 明朝" w:eastAsia="ＭＳ 明朝" w:hAnsi="ＭＳ 明朝" w:cs="ＭＳ 明朝"/>
              </w:rPr>
              <w:t>(2) 利用者に対するデータの管理に関する事項の開示</w:t>
            </w:r>
          </w:p>
          <w:tbl>
            <w:tblPr>
              <w:tblStyle w:val="af0"/>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C82E6A">
              <w:trPr>
                <w:trHeight w:val="691"/>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文書等の名称</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p w:rsidR="00C82E6A" w:rsidRDefault="00C82E6A">
                  <w:pPr>
                    <w:spacing w:after="120" w:line="238" w:lineRule="auto"/>
                    <w:jc w:val="left"/>
                    <w:rPr>
                      <w:rFonts w:ascii="ＭＳ 明朝" w:eastAsia="ＭＳ 明朝" w:hAnsi="ＭＳ 明朝" w:cs="ＭＳ 明朝"/>
                    </w:rPr>
                  </w:pPr>
                </w:p>
              </w:tc>
            </w:tr>
            <w:tr w:rsidR="00C82E6A">
              <w:trPr>
                <w:trHeight w:val="691"/>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記載箇所・ページ</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p w:rsidR="00C82E6A" w:rsidRDefault="00C82E6A">
                  <w:pPr>
                    <w:spacing w:after="120" w:line="238" w:lineRule="auto"/>
                    <w:jc w:val="left"/>
                    <w:rPr>
                      <w:rFonts w:ascii="ＭＳ 明朝" w:eastAsia="ＭＳ 明朝" w:hAnsi="ＭＳ 明朝" w:cs="ＭＳ 明朝"/>
                    </w:rPr>
                  </w:pPr>
                </w:p>
              </w:tc>
            </w:tr>
            <w:tr w:rsidR="00C82E6A">
              <w:trPr>
                <w:trHeight w:val="691"/>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p w:rsidR="00C82E6A" w:rsidRDefault="00C82E6A">
                  <w:pPr>
                    <w:spacing w:after="120" w:line="238" w:lineRule="auto"/>
                    <w:jc w:val="left"/>
                    <w:rPr>
                      <w:rFonts w:ascii="ＭＳ 明朝" w:eastAsia="ＭＳ 明朝" w:hAnsi="ＭＳ 明朝" w:cs="ＭＳ 明朝"/>
                    </w:rPr>
                  </w:pPr>
                </w:p>
              </w:tc>
            </w:tr>
          </w:tbl>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(3) データ連携システムの安全性及び信頼性の確保のために必要な措置の継続的な実施</w:t>
            </w:r>
          </w:p>
          <w:tbl>
            <w:tblPr>
              <w:tblStyle w:val="af1"/>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C82E6A">
              <w:trPr>
                <w:trHeight w:val="691"/>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文書等の名称</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p w:rsidR="00C82E6A" w:rsidRDefault="00C82E6A">
                  <w:pPr>
                    <w:spacing w:after="120" w:line="238" w:lineRule="auto"/>
                    <w:jc w:val="left"/>
                    <w:rPr>
                      <w:rFonts w:ascii="ＭＳ 明朝" w:eastAsia="ＭＳ 明朝" w:hAnsi="ＭＳ 明朝" w:cs="ＭＳ 明朝"/>
                    </w:rPr>
                  </w:pPr>
                </w:p>
              </w:tc>
            </w:tr>
            <w:tr w:rsidR="00C82E6A">
              <w:trPr>
                <w:trHeight w:val="691"/>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記載箇所・ページ</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p w:rsidR="00C82E6A" w:rsidRDefault="00C82E6A">
                  <w:pPr>
                    <w:spacing w:after="120" w:line="238" w:lineRule="auto"/>
                    <w:jc w:val="left"/>
                    <w:rPr>
                      <w:rFonts w:ascii="ＭＳ 明朝" w:eastAsia="ＭＳ 明朝" w:hAnsi="ＭＳ 明朝" w:cs="ＭＳ 明朝"/>
                    </w:rPr>
                  </w:pPr>
                </w:p>
              </w:tc>
            </w:tr>
            <w:tr w:rsidR="00C82E6A">
              <w:trPr>
                <w:trHeight w:val="691"/>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p w:rsidR="00C82E6A" w:rsidRDefault="00C82E6A">
                  <w:pPr>
                    <w:spacing w:after="120" w:line="238" w:lineRule="auto"/>
                    <w:jc w:val="left"/>
                    <w:rPr>
                      <w:rFonts w:ascii="ＭＳ 明朝" w:eastAsia="ＭＳ 明朝" w:hAnsi="ＭＳ 明朝" w:cs="ＭＳ 明朝"/>
                    </w:rPr>
                  </w:pPr>
                </w:p>
              </w:tc>
            </w:tr>
          </w:tbl>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(4) データ連携システムに接続する情報処理システムの安全性及び信頼性を確保されていることを確認するために必要な措置の継続的な実施</w:t>
            </w:r>
          </w:p>
          <w:tbl>
            <w:tblPr>
              <w:tblStyle w:val="af2"/>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C82E6A">
              <w:trPr>
                <w:trHeight w:val="691"/>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文書等の名称</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p w:rsidR="00C82E6A" w:rsidRDefault="00C82E6A">
                  <w:pPr>
                    <w:spacing w:after="120" w:line="238" w:lineRule="auto"/>
                    <w:jc w:val="left"/>
                    <w:rPr>
                      <w:rFonts w:ascii="ＭＳ 明朝" w:eastAsia="ＭＳ 明朝" w:hAnsi="ＭＳ 明朝" w:cs="ＭＳ 明朝"/>
                    </w:rPr>
                  </w:pPr>
                </w:p>
              </w:tc>
            </w:tr>
            <w:tr w:rsidR="00C82E6A">
              <w:trPr>
                <w:trHeight w:val="691"/>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lastRenderedPageBreak/>
                    <w:t>記載箇所・ページ</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tc>
            </w:tr>
            <w:tr w:rsidR="00C82E6A">
              <w:trPr>
                <w:trHeight w:val="691"/>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p w:rsidR="00C82E6A" w:rsidRDefault="00C82E6A">
                  <w:pPr>
                    <w:spacing w:after="120" w:line="238" w:lineRule="auto"/>
                    <w:jc w:val="left"/>
                    <w:rPr>
                      <w:rFonts w:ascii="ＭＳ 明朝" w:eastAsia="ＭＳ 明朝" w:hAnsi="ＭＳ 明朝" w:cs="ＭＳ 明朝"/>
                    </w:rPr>
                  </w:pPr>
                </w:p>
              </w:tc>
            </w:tr>
          </w:tbl>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(5) 他のデータ連携システムとの相互の連携を確保するためにデータ連携システムが準拠する基準の公表</w:t>
            </w:r>
          </w:p>
          <w:tbl>
            <w:tblPr>
              <w:tblStyle w:val="af3"/>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C82E6A">
              <w:trPr>
                <w:trHeight w:val="471"/>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p w:rsidR="00C82E6A" w:rsidRDefault="00C82E6A">
                  <w:pPr>
                    <w:spacing w:after="120" w:line="238" w:lineRule="auto"/>
                    <w:jc w:val="left"/>
                    <w:rPr>
                      <w:rFonts w:ascii="ＭＳ 明朝" w:eastAsia="ＭＳ 明朝" w:hAnsi="ＭＳ 明朝" w:cs="ＭＳ 明朝"/>
                    </w:rPr>
                  </w:pPr>
                </w:p>
              </w:tc>
            </w:tr>
            <w:tr w:rsidR="00C82E6A">
              <w:trPr>
                <w:trHeight w:val="734"/>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準拠する基準に対してデータ連携システムで機能を整備していることの説明</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p w:rsidR="00C82E6A" w:rsidRDefault="00C82E6A">
                  <w:pPr>
                    <w:spacing w:after="120" w:line="238" w:lineRule="auto"/>
                    <w:jc w:val="left"/>
                    <w:rPr>
                      <w:rFonts w:ascii="ＭＳ 明朝" w:eastAsia="ＭＳ 明朝" w:hAnsi="ＭＳ 明朝" w:cs="ＭＳ 明朝"/>
                    </w:rPr>
                  </w:pPr>
                </w:p>
              </w:tc>
            </w:tr>
          </w:tbl>
          <w:p w:rsidR="00C82E6A" w:rsidRDefault="00C82E6A">
            <w:pPr>
              <w:spacing w:after="120" w:line="238" w:lineRule="auto"/>
              <w:jc w:val="left"/>
              <w:rPr>
                <w:rFonts w:ascii="ＭＳ 明朝" w:eastAsia="ＭＳ 明朝" w:hAnsi="ＭＳ 明朝" w:cs="ＭＳ 明朝"/>
              </w:rPr>
            </w:pPr>
          </w:p>
          <w:p w:rsidR="00C82E6A" w:rsidRDefault="00000000">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(6) データ連携システムに係る事業の実施に必要な経営の安定性及び経営資源の確保</w:t>
            </w:r>
          </w:p>
          <w:tbl>
            <w:tblPr>
              <w:tblStyle w:val="af4"/>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C82E6A">
              <w:trPr>
                <w:trHeight w:val="536"/>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経営の安定性の確保に関する説明</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p w:rsidR="00C82E6A" w:rsidRDefault="00C82E6A">
                  <w:pPr>
                    <w:spacing w:after="120" w:line="238" w:lineRule="auto"/>
                    <w:jc w:val="left"/>
                    <w:rPr>
                      <w:rFonts w:ascii="ＭＳ 明朝" w:eastAsia="ＭＳ 明朝" w:hAnsi="ＭＳ 明朝" w:cs="ＭＳ 明朝"/>
                    </w:rPr>
                  </w:pPr>
                </w:p>
              </w:tc>
            </w:tr>
            <w:tr w:rsidR="00C82E6A">
              <w:trPr>
                <w:trHeight w:val="580"/>
              </w:trPr>
              <w:tc>
                <w:tcPr>
                  <w:tcW w:w="2600" w:type="dxa"/>
                  <w:shd w:val="clear" w:color="auto" w:fill="auto"/>
                </w:tcPr>
                <w:p w:rsidR="00C82E6A" w:rsidRDefault="00000000">
                  <w:pPr>
                    <w:spacing w:after="120" w:line="238" w:lineRule="auto"/>
                    <w:rPr>
                      <w:rFonts w:ascii="ＭＳ 明朝" w:eastAsia="ＭＳ 明朝" w:hAnsi="ＭＳ 明朝" w:cs="ＭＳ 明朝"/>
                    </w:rPr>
                  </w:pPr>
                  <w:r>
                    <w:rPr>
                      <w:rFonts w:ascii="ＭＳ 明朝" w:eastAsia="ＭＳ 明朝" w:hAnsi="ＭＳ 明朝" w:cs="ＭＳ 明朝"/>
                    </w:rPr>
                    <w:t>経営資源の確保に関する説明</w:t>
                  </w:r>
                </w:p>
              </w:tc>
              <w:tc>
                <w:tcPr>
                  <w:tcW w:w="5890" w:type="dxa"/>
                  <w:shd w:val="clear" w:color="auto" w:fill="auto"/>
                </w:tcPr>
                <w:p w:rsidR="00C82E6A" w:rsidRDefault="00C82E6A">
                  <w:pPr>
                    <w:spacing w:after="120" w:line="238" w:lineRule="auto"/>
                    <w:jc w:val="left"/>
                    <w:rPr>
                      <w:rFonts w:ascii="ＭＳ 明朝" w:eastAsia="ＭＳ 明朝" w:hAnsi="ＭＳ 明朝" w:cs="ＭＳ 明朝"/>
                    </w:rPr>
                  </w:pPr>
                </w:p>
              </w:tc>
            </w:tr>
          </w:tbl>
          <w:p w:rsidR="00C82E6A" w:rsidRDefault="00C82E6A">
            <w:pPr>
              <w:spacing w:after="120" w:line="238" w:lineRule="auto"/>
              <w:jc w:val="left"/>
              <w:rPr>
                <w:rFonts w:ascii="ＭＳ 明朝" w:eastAsia="ＭＳ 明朝" w:hAnsi="ＭＳ 明朝" w:cs="ＭＳ 明朝"/>
              </w:rPr>
            </w:pPr>
          </w:p>
          <w:p w:rsidR="00C82E6A" w:rsidRDefault="00000000">
            <w:pPr>
              <w:spacing w:line="238" w:lineRule="auto"/>
              <w:rPr>
                <w:rFonts w:ascii="ＭＳ 明朝" w:eastAsia="ＭＳ 明朝" w:hAnsi="ＭＳ 明朝" w:cs="ＭＳ 明朝"/>
              </w:rPr>
            </w:pPr>
            <w:r>
              <w:rPr>
                <w:rFonts w:ascii="ＭＳ 明朝" w:eastAsia="ＭＳ 明朝" w:hAnsi="ＭＳ 明朝" w:cs="ＭＳ 明朝"/>
              </w:rPr>
              <w:t>（注）(1)～(6)の取組においては、必要に応じて実施内容を補足説明するための書類を添付するものとする。</w:t>
            </w:r>
          </w:p>
          <w:p w:rsidR="00C82E6A" w:rsidRDefault="00C82E6A">
            <w:pPr>
              <w:spacing w:after="120" w:line="238" w:lineRule="auto"/>
              <w:jc w:val="left"/>
              <w:rPr>
                <w:rFonts w:ascii="ＭＳ 明朝" w:eastAsia="ＭＳ 明朝" w:hAnsi="ＭＳ 明朝" w:cs="ＭＳ 明朝"/>
              </w:rPr>
            </w:pPr>
          </w:p>
        </w:tc>
      </w:tr>
    </w:tbl>
    <w:p w:rsidR="00C82E6A" w:rsidRDefault="00000000">
      <w:pPr>
        <w:rPr>
          <w:rFonts w:ascii="ＭＳ 明朝" w:eastAsia="ＭＳ 明朝" w:hAnsi="ＭＳ 明朝" w:cs="ＭＳ 明朝"/>
          <w:sz w:val="24"/>
          <w:szCs w:val="24"/>
        </w:rPr>
      </w:pPr>
      <w:r>
        <w:rPr>
          <w:rFonts w:ascii="ＭＳ 明朝" w:eastAsia="ＭＳ 明朝" w:hAnsi="ＭＳ 明朝" w:cs="ＭＳ 明朝"/>
        </w:rPr>
        <w:lastRenderedPageBreak/>
        <w:t>備考．用紙の大きさは、日本産業規格Ａ４とすること。</w:t>
      </w:r>
    </w:p>
    <w:p w:rsidR="00C82E6A" w:rsidRDefault="00C82E6A">
      <w:pPr>
        <w:spacing w:after="120" w:line="238" w:lineRule="auto"/>
        <w:jc w:val="left"/>
        <w:rPr>
          <w:rFonts w:ascii="ＭＳ 明朝" w:eastAsia="ＭＳ 明朝" w:hAnsi="ＭＳ 明朝" w:cs="ＭＳ 明朝"/>
        </w:rPr>
      </w:pPr>
    </w:p>
    <w:p w:rsidR="00C82E6A" w:rsidRDefault="00C82E6A">
      <w:pPr>
        <w:spacing w:after="120" w:line="238" w:lineRule="auto"/>
        <w:jc w:val="left"/>
        <w:rPr>
          <w:rFonts w:ascii="ＭＳ 明朝" w:eastAsia="ＭＳ 明朝" w:hAnsi="ＭＳ 明朝" w:cs="ＭＳ 明朝"/>
        </w:rPr>
      </w:pPr>
    </w:p>
    <w:p w:rsidR="00C82E6A" w:rsidRDefault="00C82E6A">
      <w:pPr>
        <w:spacing w:after="120" w:line="260" w:lineRule="auto"/>
        <w:ind w:left="425" w:right="25" w:hanging="393"/>
        <w:rPr>
          <w:rFonts w:ascii="ＭＳ 明朝" w:eastAsia="ＭＳ 明朝" w:hAnsi="ＭＳ 明朝" w:cs="ＭＳ 明朝"/>
        </w:rPr>
      </w:pPr>
    </w:p>
    <w:p w:rsidR="00C82E6A" w:rsidRDefault="00000000">
      <w:pPr>
        <w:spacing w:line="318" w:lineRule="auto"/>
        <w:rPr>
          <w:rFonts w:ascii="ＭＳ 明朝" w:eastAsia="ＭＳ 明朝" w:hAnsi="ＭＳ 明朝" w:cs="ＭＳ 明朝"/>
        </w:rPr>
      </w:pPr>
      <w:r>
        <w:br w:type="page"/>
      </w:r>
      <w:r>
        <w:rPr>
          <w:rFonts w:ascii="ＭＳ 明朝" w:eastAsia="ＭＳ 明朝" w:hAnsi="ＭＳ 明朝" w:cs="ＭＳ 明朝"/>
        </w:rPr>
        <w:lastRenderedPageBreak/>
        <w:t>様式第１６（第４０条関係）（第六面）</w:t>
      </w:r>
    </w:p>
    <w:p w:rsidR="00C82E6A" w:rsidRDefault="00C82E6A">
      <w:pPr>
        <w:spacing w:line="260" w:lineRule="auto"/>
        <w:ind w:left="969" w:right="709" w:hanging="442"/>
        <w:rPr>
          <w:rFonts w:ascii="ＭＳ 明朝" w:eastAsia="ＭＳ 明朝" w:hAnsi="ＭＳ 明朝" w:cs="ＭＳ 明朝"/>
        </w:rPr>
      </w:pPr>
    </w:p>
    <w:p w:rsidR="00C82E6A" w:rsidRDefault="00000000">
      <w:pPr>
        <w:spacing w:line="260" w:lineRule="auto"/>
        <w:ind w:left="969" w:right="709" w:hanging="969"/>
        <w:rPr>
          <w:rFonts w:ascii="ＭＳ 明朝" w:eastAsia="ＭＳ 明朝" w:hAnsi="ＭＳ 明朝" w:cs="ＭＳ 明朝"/>
        </w:rPr>
      </w:pPr>
      <w:r>
        <w:rPr>
          <w:rFonts w:ascii="ＭＳ 明朝" w:eastAsia="ＭＳ 明朝" w:hAnsi="ＭＳ 明朝" w:cs="ＭＳ 明朝"/>
        </w:rPr>
        <w:t>（記載要領）</w:t>
      </w:r>
    </w:p>
    <w:p w:rsidR="00C82E6A" w:rsidRDefault="00000000">
      <w:pPr>
        <w:spacing w:after="120" w:line="260" w:lineRule="auto"/>
        <w:ind w:left="425" w:right="25" w:hanging="393"/>
        <w:rPr>
          <w:rFonts w:ascii="ＭＳ 明朝" w:eastAsia="ＭＳ 明朝" w:hAnsi="ＭＳ 明朝" w:cs="ＭＳ 明朝"/>
        </w:rPr>
      </w:pPr>
      <w:r>
        <w:rPr>
          <w:rFonts w:ascii="ＭＳ 明朝" w:eastAsia="ＭＳ 明朝" w:hAnsi="ＭＳ 明朝" w:cs="ＭＳ 明朝"/>
        </w:rPr>
        <w:t>１．「申請年月日」欄は、経済産業大臣に認定申請書を提出する年月日を記載すること。</w:t>
      </w:r>
    </w:p>
    <w:p w:rsidR="00C82E6A" w:rsidRDefault="00000000">
      <w:pPr>
        <w:spacing w:after="120" w:line="260" w:lineRule="auto"/>
        <w:ind w:left="425" w:right="25" w:hanging="393"/>
        <w:rPr>
          <w:rFonts w:ascii="ＭＳ 明朝" w:eastAsia="ＭＳ 明朝" w:hAnsi="ＭＳ 明朝" w:cs="ＭＳ 明朝"/>
        </w:rPr>
      </w:pPr>
      <w:r>
        <w:rPr>
          <w:rFonts w:ascii="ＭＳ 明朝" w:eastAsia="ＭＳ 明朝" w:hAnsi="ＭＳ 明朝" w:cs="ＭＳ 明朝"/>
        </w:rPr>
        <w:t>２．「住所」欄は、一般事業主が法人の場合にあっては、主たる事務所の所在地を記載すること。</w:t>
      </w:r>
    </w:p>
    <w:p w:rsidR="00C82E6A" w:rsidRDefault="00000000">
      <w:pPr>
        <w:spacing w:after="120" w:line="260" w:lineRule="auto"/>
        <w:ind w:left="411" w:right="25" w:hanging="379"/>
        <w:rPr>
          <w:rFonts w:ascii="ＭＳ 明朝" w:eastAsia="ＭＳ 明朝" w:hAnsi="ＭＳ 明朝" w:cs="ＭＳ 明朝"/>
        </w:rPr>
      </w:pPr>
      <w:r>
        <w:rPr>
          <w:rFonts w:ascii="ＭＳ 明朝" w:eastAsia="ＭＳ 明朝" w:hAnsi="ＭＳ 明朝" w:cs="ＭＳ 明朝"/>
        </w:rPr>
        <w:t>３．一般事業主が法人の場合であって法人番号が記入されている場合は、一般事業主の氏名又は名称、代表者の氏名、住所の記載を省略することができる。</w:t>
      </w:r>
    </w:p>
    <w:p w:rsidR="00C82E6A" w:rsidRDefault="00000000">
      <w:pPr>
        <w:spacing w:after="120" w:line="260" w:lineRule="auto"/>
        <w:ind w:left="411" w:right="25" w:hanging="379"/>
        <w:rPr>
          <w:rFonts w:ascii="ＭＳ 明朝" w:eastAsia="ＭＳ 明朝" w:hAnsi="ＭＳ 明朝" w:cs="ＭＳ 明朝"/>
        </w:rPr>
      </w:pPr>
      <w:r>
        <w:rPr>
          <w:rFonts w:ascii="ＭＳ 明朝" w:eastAsia="ＭＳ 明朝" w:hAnsi="ＭＳ 明朝" w:cs="ＭＳ 明朝"/>
        </w:rPr>
        <w:t>４．申請を行う類型について、該当するものの番号を○で囲むこと。</w:t>
      </w:r>
    </w:p>
    <w:p w:rsidR="00C82E6A" w:rsidRDefault="00000000">
      <w:pPr>
        <w:spacing w:after="120" w:line="260" w:lineRule="auto"/>
        <w:ind w:left="425" w:right="25" w:hanging="393"/>
        <w:rPr>
          <w:rFonts w:ascii="ＭＳ 明朝" w:eastAsia="ＭＳ 明朝" w:hAnsi="ＭＳ 明朝" w:cs="ＭＳ 明朝"/>
        </w:rPr>
      </w:pPr>
      <w:r>
        <w:rPr>
          <w:rFonts w:ascii="ＭＳ 明朝" w:eastAsia="ＭＳ 明朝" w:hAnsi="ＭＳ 明朝" w:cs="ＭＳ 明朝"/>
        </w:rPr>
        <w:t>５．申請内容は正しく記載すること。認定後、虚偽または不正の申請を行ったことが判明した場合には、認定の取消し等所要の措置を講ずることがある。</w:t>
      </w:r>
    </w:p>
    <w:p w:rsidR="00C82E6A" w:rsidRDefault="00C82E6A">
      <w:pPr>
        <w:spacing w:after="120" w:line="260" w:lineRule="auto"/>
        <w:ind w:left="425" w:right="25" w:hanging="393"/>
        <w:rPr>
          <w:rFonts w:ascii="ＭＳ 明朝" w:eastAsia="ＭＳ 明朝" w:hAnsi="ＭＳ 明朝" w:cs="ＭＳ 明朝"/>
        </w:rPr>
      </w:pPr>
    </w:p>
    <w:p w:rsidR="00C82E6A" w:rsidRDefault="00C82E6A">
      <w:pPr>
        <w:spacing w:after="120" w:line="260" w:lineRule="auto"/>
        <w:ind w:left="425" w:right="25" w:hanging="393"/>
        <w:rPr>
          <w:rFonts w:ascii="ＭＳ 明朝" w:eastAsia="ＭＳ 明朝" w:hAnsi="ＭＳ 明朝" w:cs="ＭＳ 明朝"/>
        </w:rPr>
      </w:pPr>
    </w:p>
    <w:p w:rsidR="00C82E6A" w:rsidRDefault="00C82E6A">
      <w:pPr>
        <w:spacing w:after="120" w:line="260" w:lineRule="auto"/>
        <w:ind w:right="25"/>
        <w:rPr>
          <w:rFonts w:ascii="ＭＳ 明朝" w:eastAsia="ＭＳ 明朝" w:hAnsi="ＭＳ 明朝" w:cs="ＭＳ 明朝"/>
          <w:sz w:val="24"/>
          <w:szCs w:val="24"/>
        </w:rPr>
      </w:pPr>
    </w:p>
    <w:sectPr w:rsidR="00C82E6A">
      <w:pgSz w:w="11905" w:h="16837"/>
      <w:pgMar w:top="855" w:right="1633" w:bottom="855" w:left="1600" w:header="140" w:footer="140" w:gutter="0"/>
      <w:pgNumType w:start="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明朝体">
    <w:altName w:val="Calibri"/>
    <w:panose1 w:val="020B0604020202020204"/>
    <w:charset w:val="00"/>
    <w:family w:val="auto"/>
    <w:pitch w:val="default"/>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720"/>
  <w:evenAndOddHeaders/>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E6A"/>
    <w:rsid w:val="002A105B"/>
    <w:rsid w:val="006326F2"/>
    <w:rsid w:val="006C5036"/>
    <w:rsid w:val="00B103E1"/>
    <w:rsid w:val="00BC0C5E"/>
    <w:rsid w:val="00C82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B96C5B3"/>
  <w15:docId w15:val="{0CAAC86C-84E6-E94D-B7A3-48B36BACCA4E}"/>
  <w:writeProtection w:cryptProviderType="rsaAES" w:cryptAlgorithmClass="hash" w:cryptAlgorithmType="typeAny" w:cryptAlgorithmSid="14" w:cryptSpinCount="100000" w:hash="ZuqDWwC9t8yaxS2xX/0Z5dIinX4ba++mAgBCFAG1t6468T7/dnkyvUiySov66c1G6HHaJLroL/EhYMxtXUAuiA==" w:salt="bHCS21ifMUqcpwHoZ/OtZ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Theme="minorEastAsia" w:hAnsi="明朝体" w:cs="明朝体"/>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unhideWhenUsed/>
    <w:qFormat/>
    <w:pPr>
      <w:keepNext/>
      <w:keepLines/>
      <w:spacing w:before="280" w:after="80"/>
      <w:outlineLvl w:val="2"/>
    </w:pPr>
    <w:rPr>
      <w:b/>
      <w:sz w:val="28"/>
      <w:szCs w:val="28"/>
    </w:rPr>
  </w:style>
  <w:style w:type="paragraph" w:styleId="4">
    <w:name w:val="heading 4"/>
    <w:basedOn w:val="a"/>
    <w:next w:val="a"/>
    <w:uiPriority w:val="9"/>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52" w:type="dxa"/>
        <w:bottom w:w="0" w:type="dxa"/>
        <w:right w:w="52"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115" w:type="dxa"/>
        <w:bottom w:w="0" w:type="dxa"/>
        <w:right w:w="115"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table" w:customStyle="1" w:styleId="aa">
    <w:basedOn w:val="TableNormal"/>
    <w:tblPr>
      <w:tblStyleRowBandSize w:val="1"/>
      <w:tblStyleColBandSize w:val="1"/>
      <w:tblCellMar>
        <w:top w:w="0" w:type="dxa"/>
        <w:left w:w="115" w:type="dxa"/>
        <w:bottom w:w="0" w:type="dxa"/>
        <w:right w:w="115" w:type="dxa"/>
      </w:tblCellMar>
    </w:tblPr>
  </w:style>
  <w:style w:type="table" w:customStyle="1" w:styleId="ab">
    <w:basedOn w:val="TableNormal"/>
    <w:tblPr>
      <w:tblStyleRowBandSize w:val="1"/>
      <w:tblStyleColBandSize w:val="1"/>
      <w:tblCellMar>
        <w:top w:w="0" w:type="dxa"/>
        <w:left w:w="115" w:type="dxa"/>
        <w:bottom w:w="0" w:type="dxa"/>
        <w:right w:w="115" w:type="dxa"/>
      </w:tblCellMar>
    </w:tblPr>
  </w:style>
  <w:style w:type="table" w:customStyle="1" w:styleId="ac">
    <w:basedOn w:val="TableNormal"/>
    <w:tblPr>
      <w:tblStyleRowBandSize w:val="1"/>
      <w:tblStyleColBandSize w:val="1"/>
      <w:tblCellMar>
        <w:top w:w="0" w:type="dxa"/>
        <w:left w:w="115" w:type="dxa"/>
        <w:bottom w:w="0" w:type="dxa"/>
        <w:right w:w="115" w:type="dxa"/>
      </w:tblCellMar>
    </w:tblPr>
  </w:style>
  <w:style w:type="table" w:customStyle="1" w:styleId="ad">
    <w:basedOn w:val="TableNormal"/>
    <w:tblPr>
      <w:tblStyleRowBandSize w:val="1"/>
      <w:tblStyleColBandSize w:val="1"/>
      <w:tblCellMar>
        <w:top w:w="0" w:type="dxa"/>
        <w:left w:w="115" w:type="dxa"/>
        <w:bottom w:w="0" w:type="dxa"/>
        <w:right w:w="115" w:type="dxa"/>
      </w:tblCellMar>
    </w:tblPr>
  </w:style>
  <w:style w:type="table" w:customStyle="1" w:styleId="ae">
    <w:basedOn w:val="TableNormal"/>
    <w:tblPr>
      <w:tblStyleRowBandSize w:val="1"/>
      <w:tblStyleColBandSize w:val="1"/>
      <w:tblCellMar>
        <w:top w:w="0" w:type="dxa"/>
        <w:left w:w="115" w:type="dxa"/>
        <w:bottom w:w="0" w:type="dxa"/>
        <w:right w:w="115" w:type="dxa"/>
      </w:tblCellMar>
    </w:tblPr>
  </w:style>
  <w:style w:type="table" w:customStyle="1" w:styleId="af">
    <w:basedOn w:val="TableNormal"/>
    <w:tblPr>
      <w:tblStyleRowBandSize w:val="1"/>
      <w:tblStyleColBandSize w:val="1"/>
      <w:tblCellMar>
        <w:top w:w="0" w:type="dxa"/>
        <w:left w:w="115" w:type="dxa"/>
        <w:bottom w:w="0" w:type="dxa"/>
        <w:right w:w="115" w:type="dxa"/>
      </w:tblCellMar>
    </w:tblPr>
  </w:style>
  <w:style w:type="table" w:customStyle="1" w:styleId="af0">
    <w:basedOn w:val="TableNormal"/>
    <w:tblPr>
      <w:tblStyleRowBandSize w:val="1"/>
      <w:tblStyleColBandSize w:val="1"/>
      <w:tblCellMar>
        <w:top w:w="0" w:type="dxa"/>
        <w:left w:w="115" w:type="dxa"/>
        <w:bottom w:w="0" w:type="dxa"/>
        <w:right w:w="115" w:type="dxa"/>
      </w:tblCellMar>
    </w:tblPr>
  </w:style>
  <w:style w:type="table" w:customStyle="1" w:styleId="af1">
    <w:basedOn w:val="TableNormal"/>
    <w:tblPr>
      <w:tblStyleRowBandSize w:val="1"/>
      <w:tblStyleColBandSize w:val="1"/>
      <w:tblCellMar>
        <w:top w:w="0" w:type="dxa"/>
        <w:left w:w="115" w:type="dxa"/>
        <w:bottom w:w="0" w:type="dxa"/>
        <w:right w:w="115" w:type="dxa"/>
      </w:tblCellMar>
    </w:tblPr>
  </w:style>
  <w:style w:type="table" w:customStyle="1" w:styleId="af2">
    <w:basedOn w:val="TableNormal"/>
    <w:tblPr>
      <w:tblStyleRowBandSize w:val="1"/>
      <w:tblStyleColBandSize w:val="1"/>
      <w:tblCellMar>
        <w:top w:w="0" w:type="dxa"/>
        <w:left w:w="115" w:type="dxa"/>
        <w:bottom w:w="0" w:type="dxa"/>
        <w:right w:w="115" w:type="dxa"/>
      </w:tblCellMar>
    </w:tblPr>
  </w:style>
  <w:style w:type="table" w:customStyle="1" w:styleId="af3">
    <w:basedOn w:val="TableNormal"/>
    <w:tblPr>
      <w:tblStyleRowBandSize w:val="1"/>
      <w:tblStyleColBandSize w:val="1"/>
      <w:tblCellMar>
        <w:top w:w="0" w:type="dxa"/>
        <w:left w:w="115" w:type="dxa"/>
        <w:bottom w:w="0" w:type="dxa"/>
        <w:right w:w="115" w:type="dxa"/>
      </w:tblCellMar>
    </w:tblPr>
  </w:style>
  <w:style w:type="table" w:customStyle="1" w:styleId="af4">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1851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845</ap:Words>
  <ap:Characters>4817</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5651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