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様式第１６（第４０条関係）（第一面から第三面まで）</w:t>
      </w:r>
    </w:p>
    <w:p w:rsidR="00000000" w:rsidDel="00000000" w:rsidP="00000000" w:rsidRDefault="00000000" w:rsidRPr="00000000" w14:paraId="00000002">
      <w:pPr>
        <w:spacing w:line="260" w:lineRule="auto"/>
        <w:rPr>
          <w:rFonts w:ascii="MS Mincho" w:cs="MS Mincho" w:eastAsia="MS Mincho" w:hAnsi="MS Mincho"/>
        </w:rPr>
      </w:pPr>
      <w:r w:rsidDel="00000000" w:rsidR="00000000" w:rsidRPr="00000000">
        <w:rPr>
          <w:rtl w:val="0"/>
        </w:rPr>
      </w:r>
    </w:p>
    <w:tbl>
      <w:tblPr>
        <w:tblStyle w:val="Table1"/>
        <w:tblW w:w="8636.0" w:type="dxa"/>
        <w:jc w:val="left"/>
        <w:tblInd w:w="88.0" w:type="dxa"/>
        <w:tblBorders>
          <w:left w:color="000000" w:space="0" w:sz="4" w:val="single"/>
          <w:right w:color="000000" w:space="0" w:sz="4" w:val="single"/>
        </w:tblBorders>
        <w:tblLayout w:type="fixed"/>
        <w:tblLook w:val="0000"/>
      </w:tblPr>
      <w:tblGrid>
        <w:gridCol w:w="8636"/>
        <w:tblGridChange w:id="0">
          <w:tblGrid>
            <w:gridCol w:w="8636"/>
          </w:tblGrid>
        </w:tblGridChange>
      </w:tblGrid>
      <w:tr>
        <w:trPr>
          <w:cantSplit w:val="0"/>
          <w:trHeight w:val="3867" w:hRule="atLeast"/>
          <w:tblHeader w:val="0"/>
        </w:trPr>
        <w:tc>
          <w:tcPr>
            <w:tcBorders>
              <w:top w:color="000000" w:space="0" w:sz="4" w:val="single"/>
              <w:bottom w:color="000000" w:space="0" w:sz="0" w:val="nil"/>
            </w:tcBorders>
          </w:tcPr>
          <w:p w:rsidR="00000000" w:rsidDel="00000000" w:rsidP="00000000" w:rsidRDefault="00000000" w:rsidRPr="00000000" w14:paraId="00000003">
            <w:pPr>
              <w:spacing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認定申請書</w:t>
            </w:r>
          </w:p>
          <w:p w:rsidR="00000000" w:rsidDel="00000000" w:rsidP="00000000" w:rsidRDefault="00000000" w:rsidRPr="00000000" w14:paraId="00000004">
            <w:pPr>
              <w:spacing w:line="260" w:lineRule="auto"/>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申請年月日　 　　2024　年　9　月　4　日</w:t>
            </w:r>
          </w:p>
          <w:p w:rsidR="00000000" w:rsidDel="00000000" w:rsidP="00000000" w:rsidRDefault="00000000" w:rsidRPr="00000000" w14:paraId="00000006">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7">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経済産業大臣　殿</w:t>
            </w:r>
          </w:p>
          <w:p w:rsidR="00000000" w:rsidDel="00000000" w:rsidP="00000000" w:rsidRDefault="00000000" w:rsidRPr="00000000" w14:paraId="00000008">
            <w:pPr>
              <w:spacing w:line="260" w:lineRule="auto"/>
              <w:ind w:left="6" w:firstLine="0"/>
              <w:jc w:val="right"/>
              <w:rPr>
                <w:rFonts w:ascii="MS Mincho" w:cs="MS Mincho" w:eastAsia="MS Mincho" w:hAnsi="MS Mincho"/>
              </w:rPr>
            </w:pPr>
            <w:r w:rsidDel="00000000" w:rsidR="00000000" w:rsidRPr="00000000">
              <w:rPr>
                <w:rFonts w:ascii="MS Mincho" w:cs="MS Mincho" w:eastAsia="MS Mincho" w:hAnsi="MS Mincho"/>
                <w:rtl w:val="0"/>
              </w:rPr>
              <w:t xml:space="preserve">（ふりがな）                </w:t>
            </w:r>
          </w:p>
          <w:p w:rsidR="00000000" w:rsidDel="00000000" w:rsidP="00000000" w:rsidRDefault="00000000" w:rsidRPr="00000000" w14:paraId="00000009">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一般事業主の氏名又は名称                </w:t>
            </w:r>
          </w:p>
          <w:p w:rsidR="00000000" w:rsidDel="00000000" w:rsidP="00000000" w:rsidRDefault="00000000" w:rsidRPr="00000000" w14:paraId="0000000A">
            <w:pPr>
              <w:spacing w:line="260" w:lineRule="auto"/>
              <w:ind w:left="4" w:firstLine="0"/>
              <w:jc w:val="right"/>
              <w:rPr>
                <w:rFonts w:ascii="MS Mincho" w:cs="MS Mincho" w:eastAsia="MS Mincho" w:hAnsi="MS Mincho"/>
              </w:rPr>
            </w:pPr>
            <w:r w:rsidDel="00000000" w:rsidR="00000000" w:rsidRPr="00000000">
              <w:rPr>
                <w:rFonts w:ascii="MS Mincho" w:cs="MS Mincho" w:eastAsia="MS Mincho" w:hAnsi="MS Mincho"/>
                <w:rtl w:val="0"/>
              </w:rPr>
              <w:t xml:space="preserve">（ふりがな）                 </w:t>
            </w:r>
          </w:p>
          <w:p w:rsidR="00000000" w:rsidDel="00000000" w:rsidP="00000000" w:rsidRDefault="00000000" w:rsidRPr="00000000" w14:paraId="0000000B">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（法人の場合）代表者の氏名  </w:t>
            </w:r>
          </w:p>
          <w:p w:rsidR="00000000" w:rsidDel="00000000" w:rsidP="00000000" w:rsidRDefault="00000000" w:rsidRPr="00000000" w14:paraId="0000000C">
            <w:pPr>
              <w:spacing w:after="120"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D">
            <w:pPr>
              <w:spacing w:after="120" w:line="260" w:lineRule="auto"/>
              <w:ind w:firstLine="707"/>
              <w:rPr>
                <w:rFonts w:ascii="MS Mincho" w:cs="MS Mincho" w:eastAsia="MS Mincho" w:hAnsi="MS Mincho"/>
              </w:rPr>
            </w:pPr>
            <w:r w:rsidDel="00000000" w:rsidR="00000000" w:rsidRPr="00000000">
              <w:rPr>
                <w:rFonts w:ascii="MS Mincho" w:cs="MS Mincho" w:eastAsia="MS Mincho" w:hAnsi="MS Mincho"/>
                <w:rtl w:val="0"/>
              </w:rPr>
              <w:t xml:space="preserve">住所　〒</w:t>
            </w:r>
          </w:p>
          <w:p w:rsidR="00000000" w:rsidDel="00000000" w:rsidP="00000000" w:rsidRDefault="00000000" w:rsidRPr="00000000" w14:paraId="0000000E">
            <w:pPr>
              <w:spacing w:after="240" w:line="260" w:lineRule="auto"/>
              <w:ind w:left="4717" w:firstLine="0"/>
              <w:rPr>
                <w:rFonts w:ascii="MS Mincho" w:cs="MS Mincho" w:eastAsia="MS Mincho" w:hAnsi="MS Mincho"/>
              </w:rPr>
            </w:pPr>
            <w:r w:rsidDel="00000000" w:rsidR="00000000" w:rsidRPr="00000000">
              <w:rPr>
                <w:rFonts w:ascii="MS Mincho" w:cs="MS Mincho" w:eastAsia="MS Mincho" w:hAnsi="MS Mincho"/>
                <w:rtl w:val="0"/>
              </w:rPr>
              <w:t xml:space="preserve">法人番号　</w:t>
            </w:r>
            <w:r w:rsidDel="00000000" w:rsidR="00000000" w:rsidRPr="00000000">
              <w:rPr>
                <w:rFonts w:ascii="MS PGothic" w:cs="MS PGothic" w:eastAsia="MS PGothic" w:hAnsi="MS PGothic"/>
                <w:sz w:val="24"/>
                <w:szCs w:val="24"/>
                <w:highlight w:val="white"/>
                <w:rtl w:val="0"/>
              </w:rPr>
              <w:t xml:space="preserve">8370001020952</w:t>
            </w:r>
            <w:r w:rsidDel="00000000" w:rsidR="00000000" w:rsidRPr="00000000">
              <w:rPr>
                <w:rtl w:val="0"/>
              </w:rPr>
            </w:r>
          </w:p>
          <w:p w:rsidR="00000000" w:rsidDel="00000000" w:rsidP="00000000" w:rsidRDefault="00000000" w:rsidRPr="00000000" w14:paraId="0000000F">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情報処理の促進に関する法律第３１条に基づき、情報処理の促進に関する法律施行規則第４１条（①第１号、②第２号）に掲げる基準による認定を受けたいので、下記のとおり申請します。</w:t>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546100</wp:posOffset>
                      </wp:positionH>
                      <wp:positionV relativeFrom="paragraph">
                        <wp:posOffset>127000</wp:posOffset>
                      </wp:positionV>
                      <wp:extent cx="750888" cy="323850"/>
                      <wp:effectExtent b="0" l="0" r="0" t="0"/>
                      <wp:wrapNone/>
                      <wp:docPr id="2" name=""/>
                      <a:graphic>
                        <a:graphicData uri="http://schemas.microsoft.com/office/word/2010/wordprocessingShape">
                          <wps:wsp>
                            <wps:cNvSpPr/>
                            <wps:cNvPr id="2" name="Shape 2"/>
                            <wps:spPr>
                              <a:xfrm>
                                <a:off x="3295500" y="2891850"/>
                                <a:ext cx="4101000" cy="1776300"/>
                              </a:xfrm>
                              <a:prstGeom prst="ellipse">
                                <a:avLst/>
                              </a:prstGeom>
                              <a:noFill/>
                              <a:ln cap="flat" cmpd="sng" w="2857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114300" distT="114300" distL="114300" distR="114300" hidden="0" layoutInCell="1" locked="0" relativeHeight="0" simplePos="0">
                      <wp:simplePos x="0" y="0"/>
                      <wp:positionH relativeFrom="column">
                        <wp:posOffset>546100</wp:posOffset>
                      </wp:positionH>
                      <wp:positionV relativeFrom="paragraph">
                        <wp:posOffset>127000</wp:posOffset>
                      </wp:positionV>
                      <wp:extent cx="750888" cy="32385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750888" cy="323850"/>
                              </a:xfrm>
                              <a:prstGeom prst="rect"/>
                              <a:ln/>
                            </pic:spPr>
                          </pic:pic>
                        </a:graphicData>
                      </a:graphic>
                    </wp:anchor>
                  </w:drawing>
                </mc:Fallback>
              </mc:AlternateContent>
            </w:r>
          </w:p>
          <w:p w:rsidR="00000000" w:rsidDel="00000000" w:rsidP="00000000" w:rsidRDefault="00000000" w:rsidRPr="00000000" w14:paraId="00000010">
            <w:pPr>
              <w:spacing w:line="26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1">
            <w:pPr>
              <w:spacing w:line="260" w:lineRule="auto"/>
              <w:ind w:left="360" w:firstLine="0"/>
              <w:jc w:val="right"/>
              <w:rPr>
                <w:rFonts w:ascii="MS Mincho" w:cs="MS Mincho" w:eastAsia="MS Mincho" w:hAnsi="MS Mincho"/>
              </w:rPr>
            </w:pPr>
            <w:r w:rsidDel="00000000" w:rsidR="00000000" w:rsidRPr="00000000">
              <w:rPr>
                <w:rtl w:val="0"/>
              </w:rPr>
            </w:r>
          </w:p>
        </w:tc>
      </w:tr>
      <w:tr>
        <w:trPr>
          <w:cantSplit w:val="0"/>
          <w:trHeight w:val="424" w:hRule="atLeast"/>
          <w:tblHeader w:val="0"/>
        </w:trPr>
        <w:tc>
          <w:tcPr>
            <w:tcBorders>
              <w:bottom w:color="000000" w:space="0" w:sz="4" w:val="single"/>
            </w:tcBorders>
          </w:tcPr>
          <w:p w:rsidR="00000000" w:rsidDel="00000000" w:rsidP="00000000" w:rsidRDefault="00000000" w:rsidRPr="00000000" w14:paraId="00000012">
            <w:pPr>
              <w:spacing w:after="24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記</w:t>
            </w:r>
          </w:p>
          <w:p w:rsidR="00000000" w:rsidDel="00000000" w:rsidP="00000000" w:rsidRDefault="00000000" w:rsidRPr="00000000" w14:paraId="00000013">
            <w:pPr>
              <w:spacing w:after="12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情報処理システムの運用及び管理に関する指針に関する取組の実施状況</w:t>
            </w:r>
          </w:p>
          <w:p w:rsidR="00000000" w:rsidDel="00000000" w:rsidP="00000000" w:rsidRDefault="00000000" w:rsidRPr="00000000" w14:paraId="00000014">
            <w:pPr>
              <w:spacing w:after="120"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1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(1) 企業経営の方向性及び情報処理技術の活用の方向性の決定</w:t>
            </w:r>
          </w:p>
          <w:tbl>
            <w:tblPr>
              <w:tblStyle w:val="Table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1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1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DXへの取り組み</w:t>
                  </w:r>
                </w:p>
                <w:p w:rsidR="00000000" w:rsidDel="00000000" w:rsidP="00000000" w:rsidRDefault="00000000" w:rsidRPr="00000000" w14:paraId="00000018">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1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1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　28　日</w:t>
                  </w:r>
                </w:p>
                <w:p w:rsidR="00000000" w:rsidDel="00000000" w:rsidP="00000000" w:rsidRDefault="00000000" w:rsidRPr="00000000" w14:paraId="0000001B">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1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1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公表方法：自社ウェブサイト</w:t>
                  </w:r>
                </w:p>
                <w:p w:rsidR="00000000" w:rsidDel="00000000" w:rsidP="00000000" w:rsidRDefault="00000000" w:rsidRPr="00000000" w14:paraId="0000001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公表場所/記載箇所：http://smilead.co.jp/dx_activity/「DXへの取り組み」</w:t>
                  </w:r>
                </w:p>
                <w:p w:rsidR="00000000" w:rsidDel="00000000" w:rsidP="00000000" w:rsidRDefault="00000000" w:rsidRPr="00000000" w14:paraId="0000001F">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2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2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【企業経営の方向性】</w:t>
                  </w:r>
                </w:p>
                <w:p w:rsidR="00000000" w:rsidDel="00000000" w:rsidP="00000000" w:rsidRDefault="00000000" w:rsidRPr="00000000" w14:paraId="0000002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ITのエキスパートを育成し、地域社会における情報リテラシーの向上に貢献する」ことを目標に2011年に創業した弊社は、これまでたゆまぬ自己革新によって常に地域経済のIT化に先導的な役割を果たしてきました。事業の中心となるのは、地元企業のニーズに応え、地域経済を担う人たちが皆「笑顔」になれるITソリューションの提供です。そのために必要なこととして、地元中小企業の経営環境や経済活動の実態を細やかに把握し、ただ単に効率化や自動化の手段を提供するのではなく、本当に困っている問題を一緒に考えて解決し、本当に望んでいる価値を実現して共に喜び合うという真の意味での「ソリューション」を提供することを常に目指します。</w:t>
                  </w:r>
                </w:p>
                <w:p w:rsidR="00000000" w:rsidDel="00000000" w:rsidP="00000000" w:rsidRDefault="00000000" w:rsidRPr="00000000" w14:paraId="0000002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【情報処理技術の活用の方向性】</w:t>
                  </w:r>
                </w:p>
                <w:p w:rsidR="00000000" w:rsidDel="00000000" w:rsidP="00000000" w:rsidRDefault="00000000" w:rsidRPr="00000000" w14:paraId="0000002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１．ITのエキスパートを育成するにあたって、小規模事業者にとっての課題の一つが、採用時点での従業員のスキルを一定水準に保つことが難しいという点です。IT技術の活用によって、新規に採用した人材のスキルを限られた時間で業務に堪える水準まで引き上げます。</w:t>
                  </w:r>
                </w:p>
                <w:p w:rsidR="00000000" w:rsidDel="00000000" w:rsidP="00000000" w:rsidRDefault="00000000" w:rsidRPr="00000000" w14:paraId="0000002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地域密着を標榜する弊社にとって、お客様の声を直に聞く機会の多い営業担当と、開発業務を担当するエンジニアとの距離は、時間においても情報の内容においても乖離することが許されません。社内の情報共有の在り方をIT技術により最適化していきます。</w:t>
                  </w:r>
                </w:p>
                <w:p w:rsidR="00000000" w:rsidDel="00000000" w:rsidP="00000000" w:rsidRDefault="00000000" w:rsidRPr="00000000" w14:paraId="0000002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３．業務の効率化はあらゆる業種で求められてきたテーマですが、局所最適が全体最適を阻害するという現実に常に直面してきました。我々はこれを最新のIT技術を活用することで克服できると考えます。</w:t>
                  </w:r>
                </w:p>
                <w:p w:rsidR="00000000" w:rsidDel="00000000" w:rsidP="00000000" w:rsidRDefault="00000000" w:rsidRPr="00000000" w14:paraId="0000002A">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４．顧客が抱える課題を解決し、顧客が望む価値を実現するには、顧客以上にその事業の環境や仕組みを理解している必要があります。この要求に応えるためにIT技術を活用します。</w:t>
                  </w:r>
                </w:p>
                <w:p w:rsidR="00000000" w:rsidDel="00000000" w:rsidP="00000000" w:rsidRDefault="00000000" w:rsidRPr="00000000" w14:paraId="0000002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５．我々にとってIT技術の活用とは、単に最新の技術を導入するということではありません。IT技術を如何に導入し活用するかについて我々が独自に培う工夫があります。そしてその工夫自体を、AIをはじめとする新しいIT技術によって更に研ぎ澄ますことができます。我々はこのような活動をDXの本質と捉えます。</w:t>
                  </w:r>
                </w:p>
              </w:tc>
            </w:tr>
            <w:tr>
              <w:trPr>
                <w:cantSplit w:val="0"/>
                <w:trHeight w:val="707" w:hRule="atLeast"/>
                <w:tblHeader w:val="0"/>
              </w:trPr>
              <w:tc>
                <w:tcPr>
                  <w:shd w:fill="auto" w:val="clear"/>
                </w:tcPr>
                <w:p w:rsidR="00000000" w:rsidDel="00000000" w:rsidP="00000000" w:rsidRDefault="00000000" w:rsidRPr="00000000" w14:paraId="0000002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2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取締役会非設置会社として代表取締役の承認をもって決定した。</w:t>
                  </w:r>
                </w:p>
              </w:tc>
            </w:tr>
          </w:tbl>
          <w:p w:rsidR="00000000" w:rsidDel="00000000" w:rsidP="00000000" w:rsidRDefault="00000000" w:rsidRPr="00000000" w14:paraId="0000003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1">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(2) 企業経営及び情報処理技術の活用の具体的な方策（戦略）の決定</w:t>
            </w:r>
          </w:p>
          <w:tbl>
            <w:tblPr>
              <w:tblStyle w:val="Table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3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3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DXへの取り組み</w:t>
                  </w:r>
                </w:p>
                <w:p w:rsidR="00000000" w:rsidDel="00000000" w:rsidP="00000000" w:rsidRDefault="00000000" w:rsidRPr="00000000" w14:paraId="00000034">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3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3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　28　日</w:t>
                  </w:r>
                </w:p>
                <w:p w:rsidR="00000000" w:rsidDel="00000000" w:rsidP="00000000" w:rsidRDefault="00000000" w:rsidRPr="00000000" w14:paraId="00000037">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3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3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公表方法：自社ウェブサイト</w:t>
                  </w:r>
                </w:p>
                <w:p w:rsidR="00000000" w:rsidDel="00000000" w:rsidP="00000000" w:rsidRDefault="00000000" w:rsidRPr="00000000" w14:paraId="0000003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公表場所/記載箇所：http://smilead.co.jp/dx_activity/「DXへの取り組み」</w:t>
                  </w:r>
                </w:p>
              </w:tc>
            </w:tr>
            <w:tr>
              <w:trPr>
                <w:cantSplit w:val="0"/>
                <w:trHeight w:val="353" w:hRule="atLeast"/>
                <w:tblHeader w:val="0"/>
              </w:trPr>
              <w:tc>
                <w:tcPr>
                  <w:shd w:fill="auto" w:val="clear"/>
                </w:tcPr>
                <w:p w:rsidR="00000000" w:rsidDel="00000000" w:rsidP="00000000" w:rsidRDefault="00000000" w:rsidRPr="00000000" w14:paraId="0000003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3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【企業経営の具体的な方策】</w:t>
                  </w:r>
                </w:p>
                <w:p w:rsidR="00000000" w:rsidDel="00000000" w:rsidP="00000000" w:rsidRDefault="00000000" w:rsidRPr="00000000" w14:paraId="0000003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企業経営にとって本質的なことは価値の創出であり、市場競争において最も重要なことは新しい価値の創出を他社に先駆けて実現することです。我々はDXを単なる既存業務の効率化や自動化としてではなく、価値創出を加速させる組織変革の活動と捉えます。それは経営トップの意思決定、組織、人事、サービス、資産管理、顧客とのインターフェース構築など、弊社の企業活動のあらゆる面に及びます。そのなかでもソフトウェア開発会社として我々が特に注力するのが、社内の開発リソースを新しい価値の創出という目的に叶うよう刷新していくことです。</w:t>
                  </w:r>
                </w:p>
                <w:p w:rsidR="00000000" w:rsidDel="00000000" w:rsidP="00000000" w:rsidRDefault="00000000" w:rsidRPr="00000000" w14:paraId="0000003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【情報処理技術の活用の具体的な方策】</w:t>
                  </w:r>
                </w:p>
                <w:p w:rsidR="00000000" w:rsidDel="00000000" w:rsidP="00000000" w:rsidRDefault="00000000" w:rsidRPr="00000000" w14:paraId="0000004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１．新入社員のスキルを、採用後の一定期間で業務対応可能な水準まで向上させるために、社内の教育自体にITを活用します。これは学習目標の設定、学習教材の提供、スキル水準に応じたOJT環境の構築、達成度や習熟速度に対する定量的な評価など様々な活動を含みます。また従業員すべてのスキルをDB化し、本人の目標や課題を登録します。定期的にこれをチェックし考課に反映するとともに、学習ペースを把握し適切な学習支援をおこない、また業務へのアサインや全社的な人的リソース管理をおこないます。更にこの情報を基に、自社全体としての技術ポートフォリオを作成し、経営戦略に生かします。</w:t>
                  </w:r>
                </w:p>
                <w:p w:rsidR="00000000" w:rsidDel="00000000" w:rsidP="00000000" w:rsidRDefault="00000000" w:rsidRPr="00000000" w14:paraId="0000004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社内の情報共有システムとしてSNSを導入し、迅速円滑な伝達を実現できる社内情報共有体制を構築します。また情報共有の方法を統一的な管理におくことで、情報漏洩などのセキュリティインシデントを防止し、情報セキュリティを向上させます。</w:t>
                  </w:r>
                </w:p>
                <w:p w:rsidR="00000000" w:rsidDel="00000000" w:rsidP="00000000" w:rsidRDefault="00000000" w:rsidRPr="00000000" w14:paraId="0000004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３．社内システムの標準化を進め、システムの保守や更新を容易にします。トレーサビリティの概念を社内システムに導入し、社内システムを構成するハード、ソフトを一括して見通しよく管理します。</w:t>
                  </w:r>
                </w:p>
                <w:p w:rsidR="00000000" w:rsidDel="00000000" w:rsidP="00000000" w:rsidRDefault="00000000" w:rsidRPr="00000000" w14:paraId="0000004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４．顧客に提案するソリューションの効果や影響を定量的に評価できるよう、データ技術やAIを駆使します。さらにその技術を援用して顧客の属する業種や顧客の事業環境を構成する隣接業種の状況を把握し、潜在的な商機を発掘します。これはビジネスモデルの再構築から商材・宣材の提案まで幅広い内容を含みます。提供するITソリューションをこのようなコンサルティング活動の中核として位置づけます。</w:t>
                  </w:r>
                </w:p>
                <w:p w:rsidR="00000000" w:rsidDel="00000000" w:rsidP="00000000" w:rsidRDefault="00000000" w:rsidRPr="00000000" w14:paraId="00000047">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５．代表取締役の陣頭指揮により社内のIT利用の在り方を常に刷新します。データ技術やAIを援用し、経営目標に叶っているか、新しい技術や環境に適応できているかを指標化して評価します。ハードやソフトのシステムだけでなく、組織や業務の在り方にも見直しを加えます。</w:t>
                  </w:r>
                </w:p>
              </w:tc>
            </w:tr>
            <w:tr>
              <w:trPr>
                <w:cantSplit w:val="0"/>
                <w:trHeight w:val="697" w:hRule="atLeast"/>
                <w:tblHeader w:val="0"/>
              </w:trPr>
              <w:tc>
                <w:tcPr>
                  <w:shd w:fill="auto" w:val="clear"/>
                </w:tcPr>
                <w:p w:rsidR="00000000" w:rsidDel="00000000" w:rsidP="00000000" w:rsidRDefault="00000000" w:rsidRPr="00000000" w14:paraId="0000004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4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取締役会非設置会社として代表取締役の承認をもって決定した。</w:t>
                  </w:r>
                </w:p>
              </w:tc>
            </w:tr>
          </w:tbl>
          <w:p w:rsidR="00000000" w:rsidDel="00000000" w:rsidP="00000000" w:rsidRDefault="00000000" w:rsidRPr="00000000" w14:paraId="0000004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 戦略を効果的に進めるための体制の提示</w:t>
            </w:r>
          </w:p>
          <w:tbl>
            <w:tblPr>
              <w:tblStyle w:val="Table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4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4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公表方法：自社ウェブサイト</w:t>
                  </w:r>
                </w:p>
                <w:p w:rsidR="00000000" w:rsidDel="00000000" w:rsidP="00000000" w:rsidRDefault="00000000" w:rsidRPr="00000000" w14:paraId="0000004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公表場所/記載箇所：http://smilead.co.jp/dx_activity/「DXへの取り組み」</w:t>
                  </w:r>
                </w:p>
              </w:tc>
            </w:tr>
            <w:tr>
              <w:trPr>
                <w:cantSplit w:val="0"/>
                <w:trHeight w:val="697" w:hRule="atLeast"/>
                <w:tblHeader w:val="0"/>
              </w:trPr>
              <w:tc>
                <w:tcPr>
                  <w:shd w:fill="auto" w:val="clear"/>
                </w:tcPr>
                <w:p w:rsidR="00000000" w:rsidDel="00000000" w:rsidP="00000000" w:rsidRDefault="00000000" w:rsidRPr="00000000" w14:paraId="0000005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5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１．代表取締役が総責任者として各部門の責任者を指揮します。また経営企画グループ内に専任のDXセクションをおき、状況分析や戦略立案などにあたらせます。</w:t>
                  </w:r>
                </w:p>
                <w:p w:rsidR="00000000" w:rsidDel="00000000" w:rsidP="00000000" w:rsidRDefault="00000000" w:rsidRPr="00000000" w14:paraId="00000052">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社外のさまざまな組織と連携して、最新の動向を把握し、DXを担いうる人材を確保します。SNS等を活用してアンテナを張り、DXに資する技術イベントに積極的に従業員を参加させるほか、自治体や各種公的団体との連携を強化し自社の経験を共有します。</w:t>
                  </w:r>
                </w:p>
              </w:tc>
            </w:tr>
          </w:tbl>
          <w:p w:rsidR="00000000" w:rsidDel="00000000" w:rsidP="00000000" w:rsidRDefault="00000000" w:rsidRPr="00000000" w14:paraId="0000005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 最新の情報処理技術を活用するための環境整備の具体的方策の提示</w:t>
            </w:r>
          </w:p>
          <w:tbl>
            <w:tblPr>
              <w:tblStyle w:val="Table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5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5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公表方法：自社ウェブサイト</w:t>
                  </w:r>
                </w:p>
                <w:p w:rsidR="00000000" w:rsidDel="00000000" w:rsidP="00000000" w:rsidRDefault="00000000" w:rsidRPr="00000000" w14:paraId="0000005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公表場所/記載箇所：http://smilead.co.jp/dx_activity/「DXへの取り組み」</w:t>
                  </w:r>
                </w:p>
              </w:tc>
            </w:tr>
            <w:tr>
              <w:trPr>
                <w:cantSplit w:val="0"/>
                <w:trHeight w:val="697" w:hRule="atLeast"/>
                <w:tblHeader w:val="0"/>
              </w:trPr>
              <w:tc>
                <w:tcPr>
                  <w:shd w:fill="auto" w:val="clear"/>
                </w:tcPr>
                <w:p w:rsidR="00000000" w:rsidDel="00000000" w:rsidP="00000000" w:rsidRDefault="00000000" w:rsidRPr="00000000" w14:paraId="0000005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5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１．DXを可能とするため、全社的な枠組みでIT投資計画を策定し、戦略的に設備投資をおこないます。</w:t>
                  </w:r>
                </w:p>
                <w:p w:rsidR="00000000" w:rsidDel="00000000" w:rsidP="00000000" w:rsidRDefault="00000000" w:rsidRPr="00000000" w14:paraId="0000005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２．全社共通の基盤としてSaaSなどクラウド環境の構築を進めます。これによりスケーラビリティを確保し、人的資源を本業に集中させます。</w:t>
                  </w:r>
                </w:p>
                <w:p w:rsidR="00000000" w:rsidDel="00000000" w:rsidP="00000000" w:rsidRDefault="00000000" w:rsidRPr="00000000" w14:paraId="0000005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３．各種IT技術をどのように組み合わせるかについて、標準となるモデルを策定し全社に浸透させます。システムの利用技術を常に全社的な視点から確認できるよう管理し、部門ごとに蛸壺化したり属人化したりすることを防ぎます。</w:t>
                  </w:r>
                </w:p>
                <w:p w:rsidR="00000000" w:rsidDel="00000000" w:rsidP="00000000" w:rsidRDefault="00000000" w:rsidRPr="00000000" w14:paraId="0000005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４．従業員が最新の情報技術に対応できるよう、各人の持っているスキルと、各業務に必要なスキル（スキル標準）との両方をDBに登録します。この対比に基づいて、必要な教育をおこないます。</w:t>
                  </w:r>
                </w:p>
              </w:tc>
            </w:tr>
          </w:tbl>
          <w:p w:rsidR="00000000" w:rsidDel="00000000" w:rsidP="00000000" w:rsidRDefault="00000000" w:rsidRPr="00000000" w14:paraId="0000006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62">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(3) 戦略の達成状況に係る指標の決定</w:t>
            </w:r>
          </w:p>
          <w:tbl>
            <w:tblPr>
              <w:tblStyle w:val="Table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6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6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DXへの取り組み</w:t>
                  </w:r>
                </w:p>
                <w:p w:rsidR="00000000" w:rsidDel="00000000" w:rsidP="00000000" w:rsidRDefault="00000000" w:rsidRPr="00000000" w14:paraId="00000065">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6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6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　28　日</w:t>
                  </w:r>
                </w:p>
                <w:p w:rsidR="00000000" w:rsidDel="00000000" w:rsidP="00000000" w:rsidRDefault="00000000" w:rsidRPr="00000000" w14:paraId="00000068">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6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6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公表方法：自社ウェブサイト</w:t>
                  </w:r>
                </w:p>
                <w:p w:rsidR="00000000" w:rsidDel="00000000" w:rsidP="00000000" w:rsidRDefault="00000000" w:rsidRPr="00000000" w14:paraId="0000006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公表場所/記載箇所：http://smilead.co.jp/dx_activity/「DXへの取り組み」</w:t>
                  </w:r>
                </w:p>
              </w:tc>
            </w:tr>
            <w:tr>
              <w:trPr>
                <w:cantSplit w:val="0"/>
                <w:trHeight w:val="697" w:hRule="atLeast"/>
                <w:tblHeader w:val="0"/>
              </w:trPr>
              <w:tc>
                <w:tcPr>
                  <w:shd w:fill="auto" w:val="clear"/>
                </w:tcPr>
                <w:p w:rsidR="00000000" w:rsidDel="00000000" w:rsidP="00000000" w:rsidRDefault="00000000" w:rsidRPr="00000000" w14:paraId="0000006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6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１．会計事務や開発プロジェクトの準備などに拘わる作業の自動化率。作業時間の短縮率</w:t>
                  </w:r>
                </w:p>
                <w:p w:rsidR="00000000" w:rsidDel="00000000" w:rsidP="00000000" w:rsidRDefault="00000000" w:rsidRPr="00000000" w14:paraId="0000006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２．DB化された従業員のスキルの統計的評価（スキル水準、市場要求スキルのカバー率、教育時間、等）</w:t>
                  </w:r>
                </w:p>
                <w:p w:rsidR="00000000" w:rsidDel="00000000" w:rsidP="00000000" w:rsidRDefault="00000000" w:rsidRPr="00000000" w14:paraId="0000006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３．顧客へのDX支援の件数</w:t>
                  </w:r>
                </w:p>
                <w:p w:rsidR="00000000" w:rsidDel="00000000" w:rsidP="00000000" w:rsidRDefault="00000000" w:rsidRPr="00000000" w14:paraId="0000007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４．独自性のある新規プロジェクトの立ち上げ件数</w:t>
                  </w:r>
                </w:p>
                <w:p w:rsidR="00000000" w:rsidDel="00000000" w:rsidP="00000000" w:rsidRDefault="00000000" w:rsidRPr="00000000" w14:paraId="0000007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５．新技術の導入件数</w:t>
                  </w:r>
                </w:p>
                <w:p w:rsidR="00000000" w:rsidDel="00000000" w:rsidP="00000000" w:rsidRDefault="00000000" w:rsidRPr="00000000" w14:paraId="0000007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６．レガシーシステムの残存率（低いほど良い）</w:t>
                  </w:r>
                </w:p>
                <w:p w:rsidR="00000000" w:rsidDel="00000000" w:rsidP="00000000" w:rsidRDefault="00000000" w:rsidRPr="00000000" w14:paraId="0000007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７．システムのインテグレーション率</w:t>
                  </w:r>
                </w:p>
              </w:tc>
            </w:tr>
          </w:tbl>
          <w:p w:rsidR="00000000" w:rsidDel="00000000" w:rsidP="00000000" w:rsidRDefault="00000000" w:rsidRPr="00000000" w14:paraId="00000074">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5">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(4) 実務執行総括責任者による効果的な戦略の推進等を図るために必要な情報発信</w:t>
            </w:r>
          </w:p>
          <w:tbl>
            <w:tblPr>
              <w:tblStyle w:val="Table7"/>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7" w:hRule="atLeast"/>
                <w:tblHeader w:val="0"/>
              </w:trPr>
              <w:tc>
                <w:tcPr>
                  <w:shd w:fill="auto" w:val="clear"/>
                </w:tcPr>
                <w:p w:rsidR="00000000" w:rsidDel="00000000" w:rsidP="00000000" w:rsidRDefault="00000000" w:rsidRPr="00000000" w14:paraId="0000007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発信日</w:t>
                  </w:r>
                </w:p>
              </w:tc>
              <w:tc>
                <w:tcPr>
                  <w:shd w:fill="auto" w:val="clear"/>
                </w:tcPr>
                <w:p w:rsidR="00000000" w:rsidDel="00000000" w:rsidP="00000000" w:rsidRDefault="00000000" w:rsidRPr="00000000" w14:paraId="0000007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　28　日</w:t>
                  </w:r>
                </w:p>
                <w:p w:rsidR="00000000" w:rsidDel="00000000" w:rsidP="00000000" w:rsidRDefault="00000000" w:rsidRPr="00000000" w14:paraId="00000078">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7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発信方法</w:t>
                  </w:r>
                </w:p>
              </w:tc>
              <w:tc>
                <w:tcPr>
                  <w:shd w:fill="auto" w:val="clear"/>
                </w:tcPr>
                <w:p w:rsidR="00000000" w:rsidDel="00000000" w:rsidP="00000000" w:rsidRDefault="00000000" w:rsidRPr="00000000" w14:paraId="0000007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自社ウェブサイトの「DXへの取り組み」ページ(http://smilead.co.jp/dx_activity/)の冒頭で、代表取締役が自ら「DX戦略の推進」を表明しています。</w:t>
                  </w:r>
                </w:p>
                <w:p w:rsidR="00000000" w:rsidDel="00000000" w:rsidP="00000000" w:rsidRDefault="00000000" w:rsidRPr="00000000" w14:paraId="0000007B">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7C">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発信内容</w:t>
                  </w:r>
                </w:p>
              </w:tc>
              <w:tc>
                <w:tcPr>
                  <w:shd w:fill="auto" w:val="clear"/>
                </w:tcPr>
                <w:p w:rsidR="00000000" w:rsidDel="00000000" w:rsidP="00000000" w:rsidRDefault="00000000" w:rsidRPr="00000000" w14:paraId="0000007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記載内容：</w:t>
                  </w:r>
                </w:p>
                <w:p w:rsidR="00000000" w:rsidDel="00000000" w:rsidP="00000000" w:rsidRDefault="00000000" w:rsidRPr="00000000" w14:paraId="0000007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今日のビジネス環境の急激な変化に適応し生き残るために、企業にとってデジタルトランスフォーメーションを避けて通ることはできません。我々はデータ主導・リアルタイムの意思決定により、プロセスを合理化し生産性を向上させると同時に、デジタル技術を生かした新しいビジネスモデルや顧客体験を提供していきます。またリスクを低減し、セキュリティを強固にし、従業員の負担を軽減しつつ達成感を高め、組織の透明性と柔軟性とを向上させていきます。</w:t>
                  </w:r>
                </w:p>
                <w:p w:rsidR="00000000" w:rsidDel="00000000" w:rsidP="00000000" w:rsidRDefault="00000000" w:rsidRPr="00000000" w14:paraId="0000008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つまり、DXは我々が目指す「皆が笑顔になれるシステムソリューション」の実現に他なりません。我々はDXの推進に全力で取り組みます。</w:t>
                  </w:r>
                </w:p>
              </w:tc>
            </w:tr>
          </w:tbl>
          <w:p w:rsidR="00000000" w:rsidDel="00000000" w:rsidP="00000000" w:rsidRDefault="00000000" w:rsidRPr="00000000" w14:paraId="0000008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2">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実務執行総括責任者が主導的な役割を果たすことによる、事業者が利用する情報処理システムにおける課題の把握</w:t>
            </w:r>
          </w:p>
          <w:tbl>
            <w:tblPr>
              <w:tblStyle w:val="Table8"/>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8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8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月頃　～　　　継続実施中</w:t>
                  </w:r>
                </w:p>
                <w:p w:rsidR="00000000" w:rsidDel="00000000" w:rsidP="00000000" w:rsidRDefault="00000000" w:rsidRPr="00000000" w14:paraId="00000085">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tcPr>
                <w:p w:rsidR="00000000" w:rsidDel="00000000" w:rsidP="00000000" w:rsidRDefault="00000000" w:rsidRPr="00000000" w14:paraId="00000086">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8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IPAの「DX推進指標自己診断」を活用し、課題の洗い出しを継続して実施。内容は本申請へファイルとして添付。</w:t>
                  </w:r>
                </w:p>
                <w:p w:rsidR="00000000" w:rsidDel="00000000" w:rsidP="00000000" w:rsidRDefault="00000000" w:rsidRPr="00000000" w14:paraId="00000088">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8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(6) サイバーセキュリティに関する対策の的確な策定及び実施</w:t>
            </w:r>
          </w:p>
          <w:tbl>
            <w:tblPr>
              <w:tblStyle w:val="Table9"/>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tcPr>
                <w:p w:rsidR="00000000" w:rsidDel="00000000" w:rsidP="00000000" w:rsidRDefault="00000000" w:rsidRPr="00000000" w14:paraId="0000008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8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2024 年　6　月頃　～　　　継続実施中</w:t>
                  </w:r>
                </w:p>
                <w:p w:rsidR="00000000" w:rsidDel="00000000" w:rsidP="00000000" w:rsidRDefault="00000000" w:rsidRPr="00000000" w14:paraId="0000008D">
                  <w:pPr>
                    <w:spacing w:after="120" w:line="238" w:lineRule="auto"/>
                    <w:jc w:val="left"/>
                    <w:rPr>
                      <w:rFonts w:ascii="MS Mincho" w:cs="MS Mincho" w:eastAsia="MS Mincho" w:hAnsi="MS Mincho"/>
                    </w:rPr>
                  </w:pPr>
                  <w:r w:rsidDel="00000000" w:rsidR="00000000" w:rsidRPr="00000000">
                    <w:rPr>
                      <w:rtl w:val="0"/>
                    </w:rPr>
                  </w:r>
                </w:p>
              </w:tc>
            </w:tr>
            <w:tr>
              <w:trPr>
                <w:cantSplit w:val="0"/>
                <w:trHeight w:val="697" w:hRule="atLeast"/>
                <w:tblHeader w:val="0"/>
              </w:trPr>
              <w:tc>
                <w:tcPr>
                  <w:shd w:fill="auto" w:val="clear"/>
                </w:tcPr>
                <w:p w:rsidR="00000000" w:rsidDel="00000000" w:rsidP="00000000" w:rsidRDefault="00000000" w:rsidRPr="00000000" w14:paraId="0000008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8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自社webサイト(http://smilead.co.jp/cyber_serurity/)に情報セキュリティ基本方針を掲載した上で、IPAの「SECURITY ACTION」における「2つ星宣言」を実施済み。</w:t>
                  </w:r>
                </w:p>
                <w:p w:rsidR="00000000" w:rsidDel="00000000" w:rsidP="00000000" w:rsidRDefault="00000000" w:rsidRPr="00000000" w14:paraId="0000009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自己宣言ID: 40371144632</w:t>
                  </w:r>
                </w:p>
                <w:p w:rsidR="00000000" w:rsidDel="00000000" w:rsidP="00000000" w:rsidRDefault="00000000" w:rsidRPr="00000000" w14:paraId="00000091">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92">
            <w:pPr>
              <w:spacing w:line="23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93">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①　(1)～(3)の取組における、公表を行っていることを明らかにする書類（公表先のウェブサイトの画面を印刷した書類等）</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4"/>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②　(4)の取組における、情報発信を行っていることを明らかにする書類（情報発信内容を確認できるウェブサイトの画面を印刷した書類等）</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④　(5)～(6)の取組における、実施内容を補足説明するための書類</w:t>
            </w:r>
          </w:p>
        </w:tc>
      </w:tr>
    </w:tbl>
    <w:p w:rsidR="00000000" w:rsidDel="00000000" w:rsidP="00000000" w:rsidRDefault="00000000" w:rsidRPr="00000000" w14:paraId="00000098">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99">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9A">
      <w:pPr>
        <w:spacing w:after="120" w:line="238" w:lineRule="auto"/>
        <w:jc w:val="left"/>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様式第１６（第４０条関係）（第四面及び第五面）</w:t>
      </w:r>
    </w:p>
    <w:p w:rsidR="00000000" w:rsidDel="00000000" w:rsidP="00000000" w:rsidRDefault="00000000" w:rsidRPr="00000000" w14:paraId="0000009B">
      <w:pPr>
        <w:spacing w:after="120" w:line="238" w:lineRule="auto"/>
        <w:jc w:val="left"/>
        <w:rPr>
          <w:rFonts w:ascii="MS Mincho" w:cs="MS Mincho" w:eastAsia="MS Mincho" w:hAnsi="MS Mincho"/>
        </w:rPr>
      </w:pPr>
      <w:r w:rsidDel="00000000" w:rsidR="00000000" w:rsidRPr="00000000">
        <w:rPr>
          <w:rtl w:val="0"/>
        </w:rPr>
      </w:r>
    </w:p>
    <w:tbl>
      <w:tblPr>
        <w:tblStyle w:val="Table10"/>
        <w:tblW w:w="888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88"/>
        <w:tblGridChange w:id="0">
          <w:tblGrid>
            <w:gridCol w:w="8888"/>
          </w:tblGrid>
        </w:tblGridChange>
      </w:tblGrid>
      <w:tr>
        <w:trPr>
          <w:cantSplit w:val="0"/>
          <w:tblHeader w:val="0"/>
        </w:trPr>
        <w:tc>
          <w:tcPr>
            <w:shd w:fill="auto" w:val="clear"/>
          </w:tcPr>
          <w:p w:rsidR="00000000" w:rsidDel="00000000" w:rsidP="00000000" w:rsidRDefault="00000000" w:rsidRPr="00000000" w14:paraId="0000009C">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情報処理の促進に関する法律施行規則第４１条第２号に掲げる基準による認定を受けようとする場合は、以下についても記載すること。</w:t>
            </w:r>
          </w:p>
          <w:p w:rsidR="00000000" w:rsidDel="00000000" w:rsidP="00000000" w:rsidRDefault="00000000" w:rsidRPr="00000000" w14:paraId="0000009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E">
            <w:pPr>
              <w:spacing w:after="120" w:line="238" w:lineRule="auto"/>
              <w:ind w:left="662" w:hanging="662"/>
              <w:jc w:val="left"/>
              <w:rPr>
                <w:rFonts w:ascii="MS Mincho" w:cs="MS Mincho" w:eastAsia="MS Mincho" w:hAnsi="MS Mincho"/>
              </w:rPr>
            </w:pPr>
            <w:r w:rsidDel="00000000" w:rsidR="00000000" w:rsidRPr="00000000">
              <w:rPr>
                <w:rFonts w:ascii="MS Mincho" w:cs="MS Mincho" w:eastAsia="MS Mincho" w:hAnsi="MS Mincho"/>
                <w:rtl w:val="0"/>
              </w:rPr>
              <w:t xml:space="preserve">　(1) データ連携システムの運用及び管理に関する説明</w:t>
            </w:r>
          </w:p>
          <w:tbl>
            <w:tblPr>
              <w:tblStyle w:val="Table11"/>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9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データ連携システムの目的、概要に関する説明</w:t>
                  </w:r>
                </w:p>
              </w:tc>
              <w:tc>
                <w:tcPr>
                  <w:shd w:fill="auto" w:val="clear"/>
                </w:tcPr>
                <w:p w:rsidR="00000000" w:rsidDel="00000000" w:rsidP="00000000" w:rsidRDefault="00000000" w:rsidRPr="00000000" w14:paraId="000000A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1">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データ連携システムの運用及び管理を開始した日</w:t>
                  </w:r>
                </w:p>
              </w:tc>
              <w:tc>
                <w:tcPr>
                  <w:shd w:fill="auto" w:val="clear"/>
                </w:tcPr>
                <w:p w:rsidR="00000000" w:rsidDel="00000000" w:rsidP="00000000" w:rsidRDefault="00000000" w:rsidRPr="00000000" w14:paraId="000000A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年　　月　　日</w:t>
                  </w:r>
                </w:p>
                <w:p w:rsidR="00000000" w:rsidDel="00000000" w:rsidP="00000000" w:rsidRDefault="00000000" w:rsidRPr="00000000" w14:paraId="000000A4">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ガイドラインその他の機構が定める文書等の名称</w:t>
                  </w:r>
                </w:p>
              </w:tc>
              <w:tc>
                <w:tcPr>
                  <w:shd w:fill="auto" w:val="clear"/>
                </w:tcPr>
                <w:p w:rsidR="00000000" w:rsidDel="00000000" w:rsidP="00000000" w:rsidRDefault="00000000" w:rsidRPr="00000000" w14:paraId="000000A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7">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開発、運用及び管理を共同で行うことが合理的であることの説明</w:t>
                  </w:r>
                </w:p>
              </w:tc>
              <w:tc>
                <w:tcPr>
                  <w:shd w:fill="auto" w:val="clear"/>
                </w:tcPr>
                <w:p w:rsidR="00000000" w:rsidDel="00000000" w:rsidP="00000000" w:rsidRDefault="00000000" w:rsidRPr="00000000" w14:paraId="000000A9">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A">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A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データ連携システムにおいてデータ流通機能及び連携サービス機能を有することの説明</w:t>
                  </w:r>
                </w:p>
              </w:tc>
              <w:tc>
                <w:tcPr>
                  <w:shd w:fill="auto" w:val="clear"/>
                </w:tcPr>
                <w:p w:rsidR="00000000" w:rsidDel="00000000" w:rsidP="00000000" w:rsidRDefault="00000000" w:rsidRPr="00000000" w14:paraId="000000AC">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A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AE">
            <w:pPr>
              <w:spacing w:after="120" w:line="238" w:lineRule="auto"/>
              <w:ind w:left="654" w:hanging="440"/>
              <w:jc w:val="left"/>
              <w:rPr>
                <w:rFonts w:ascii="MS Mincho" w:cs="MS Mincho" w:eastAsia="MS Mincho" w:hAnsi="MS Mincho"/>
              </w:rPr>
            </w:pPr>
            <w:r w:rsidDel="00000000" w:rsidR="00000000" w:rsidRPr="00000000">
              <w:rPr>
                <w:rFonts w:ascii="MS Mincho" w:cs="MS Mincho" w:eastAsia="MS Mincho" w:hAnsi="MS Mincho"/>
                <w:rtl w:val="0"/>
              </w:rPr>
              <w:t xml:space="preserve">(2) 利用者に対するデータの管理に関する事項の開示</w:t>
            </w:r>
          </w:p>
          <w:tbl>
            <w:tblPr>
              <w:tblStyle w:val="Table1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A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B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1">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B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B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4">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B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B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7">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B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9">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(3) データ連携システムの安全性及び信頼性の確保のために必要な措置の継続的な実施</w:t>
            </w:r>
          </w:p>
          <w:tbl>
            <w:tblPr>
              <w:tblStyle w:val="Table1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B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B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C">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B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B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BF">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0">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C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2">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C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4">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(4) データ連携システムに接続する情報処理システムの安全性及び信頼性を確保されていることを確認するために必要な措置の継続的な実施</w:t>
            </w:r>
          </w:p>
          <w:tbl>
            <w:tblPr>
              <w:tblStyle w:val="Table1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1" w:hRule="atLeast"/>
                <w:tblHeader w:val="0"/>
              </w:trPr>
              <w:tc>
                <w:tcPr>
                  <w:shd w:fill="auto" w:val="clear"/>
                </w:tcPr>
                <w:p w:rsidR="00000000" w:rsidDel="00000000" w:rsidP="00000000" w:rsidRDefault="00000000" w:rsidRPr="00000000" w14:paraId="000000C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文書等の名称</w:t>
                  </w:r>
                </w:p>
              </w:tc>
              <w:tc>
                <w:tcPr>
                  <w:shd w:fill="auto" w:val="clear"/>
                </w:tcPr>
                <w:p w:rsidR="00000000" w:rsidDel="00000000" w:rsidP="00000000" w:rsidRDefault="00000000" w:rsidRPr="00000000" w14:paraId="000000C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7">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記載箇所・ページ</w:t>
                  </w:r>
                </w:p>
              </w:tc>
              <w:tc>
                <w:tcPr>
                  <w:shd w:fill="auto" w:val="clear"/>
                </w:tcPr>
                <w:p w:rsidR="00000000" w:rsidDel="00000000" w:rsidP="00000000" w:rsidRDefault="00000000" w:rsidRPr="00000000" w14:paraId="000000C9">
                  <w:pPr>
                    <w:spacing w:after="120" w:line="238" w:lineRule="auto"/>
                    <w:jc w:val="left"/>
                    <w:rPr>
                      <w:rFonts w:ascii="MS Mincho" w:cs="MS Mincho" w:eastAsia="MS Mincho" w:hAnsi="MS Mincho"/>
                    </w:rPr>
                  </w:pPr>
                  <w:r w:rsidDel="00000000" w:rsidR="00000000" w:rsidRPr="00000000">
                    <w:rPr>
                      <w:rtl w:val="0"/>
                    </w:rPr>
                  </w:r>
                </w:p>
              </w:tc>
            </w:tr>
            <w:tr>
              <w:trPr>
                <w:cantSplit w:val="0"/>
                <w:trHeight w:val="691" w:hRule="atLeast"/>
                <w:tblHeader w:val="0"/>
              </w:trPr>
              <w:tc>
                <w:tcPr>
                  <w:shd w:fill="auto" w:val="clear"/>
                </w:tcPr>
                <w:p w:rsidR="00000000" w:rsidDel="00000000" w:rsidP="00000000" w:rsidRDefault="00000000" w:rsidRPr="00000000" w14:paraId="000000C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CB">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C">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C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CE">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他のデータ連携システムとの相互の連携を確保するためにデータ連携システムが準拠する基準の公表</w:t>
            </w:r>
          </w:p>
          <w:tbl>
            <w:tblPr>
              <w:tblStyle w:val="Table1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471" w:hRule="atLeast"/>
                <w:tblHeader w:val="0"/>
              </w:trPr>
              <w:tc>
                <w:tcPr>
                  <w:shd w:fill="auto" w:val="clear"/>
                </w:tcPr>
                <w:p w:rsidR="00000000" w:rsidDel="00000000" w:rsidP="00000000" w:rsidRDefault="00000000" w:rsidRPr="00000000" w14:paraId="000000C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D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1">
                  <w:pPr>
                    <w:spacing w:after="120" w:line="238" w:lineRule="auto"/>
                    <w:jc w:val="left"/>
                    <w:rPr>
                      <w:rFonts w:ascii="MS Mincho" w:cs="MS Mincho" w:eastAsia="MS Mincho" w:hAnsi="MS Mincho"/>
                    </w:rPr>
                  </w:pPr>
                  <w:r w:rsidDel="00000000" w:rsidR="00000000" w:rsidRPr="00000000">
                    <w:rPr>
                      <w:rtl w:val="0"/>
                    </w:rPr>
                  </w:r>
                </w:p>
              </w:tc>
            </w:tr>
            <w:tr>
              <w:trPr>
                <w:cantSplit w:val="0"/>
                <w:trHeight w:val="734" w:hRule="atLeast"/>
                <w:tblHeader w:val="0"/>
              </w:trPr>
              <w:tc>
                <w:tcPr>
                  <w:shd w:fill="auto" w:val="clear"/>
                </w:tcPr>
                <w:p w:rsidR="00000000" w:rsidDel="00000000" w:rsidP="00000000" w:rsidRDefault="00000000" w:rsidRPr="00000000" w14:paraId="000000D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準拠する基準に対してデータ連携システムで機能を整備していることの説明</w:t>
                  </w:r>
                </w:p>
              </w:tc>
              <w:tc>
                <w:tcPr>
                  <w:shd w:fill="auto" w:val="clear"/>
                </w:tcPr>
                <w:p w:rsidR="00000000" w:rsidDel="00000000" w:rsidP="00000000" w:rsidRDefault="00000000" w:rsidRPr="00000000" w14:paraId="000000D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4">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D5">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6">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(6) データ連携システムに係る事業の実施に必要な経営の安定性及び経営資源の確保</w:t>
            </w:r>
          </w:p>
          <w:tbl>
            <w:tblPr>
              <w:tblStyle w:val="Table1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536" w:hRule="atLeast"/>
                <w:tblHeader w:val="0"/>
              </w:trPr>
              <w:tc>
                <w:tcPr>
                  <w:shd w:fill="auto" w:val="clear"/>
                </w:tcPr>
                <w:p w:rsidR="00000000" w:rsidDel="00000000" w:rsidP="00000000" w:rsidRDefault="00000000" w:rsidRPr="00000000" w14:paraId="000000D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経営の安定性の確保に関する説明</w:t>
                  </w:r>
                </w:p>
              </w:tc>
              <w:tc>
                <w:tcPr>
                  <w:shd w:fill="auto" w:val="clear"/>
                </w:tcPr>
                <w:p w:rsidR="00000000" w:rsidDel="00000000" w:rsidP="00000000" w:rsidRDefault="00000000" w:rsidRPr="00000000" w14:paraId="000000D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9">
                  <w:pPr>
                    <w:spacing w:after="120" w:line="238" w:lineRule="auto"/>
                    <w:jc w:val="left"/>
                    <w:rPr>
                      <w:rFonts w:ascii="MS Mincho" w:cs="MS Mincho" w:eastAsia="MS Mincho" w:hAnsi="MS Mincho"/>
                    </w:rPr>
                  </w:pPr>
                  <w:r w:rsidDel="00000000" w:rsidR="00000000" w:rsidRPr="00000000">
                    <w:rPr>
                      <w:rtl w:val="0"/>
                    </w:rPr>
                  </w:r>
                </w:p>
              </w:tc>
            </w:tr>
            <w:tr>
              <w:trPr>
                <w:cantSplit w:val="0"/>
                <w:trHeight w:val="580" w:hRule="atLeast"/>
                <w:tblHeader w:val="0"/>
              </w:trPr>
              <w:tc>
                <w:tcPr>
                  <w:shd w:fill="auto" w:val="clear"/>
                </w:tcPr>
                <w:p w:rsidR="00000000" w:rsidDel="00000000" w:rsidP="00000000" w:rsidRDefault="00000000" w:rsidRPr="00000000" w14:paraId="000000D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経営資源の確保に関する説明</w:t>
                  </w:r>
                </w:p>
              </w:tc>
              <w:tc>
                <w:tcPr>
                  <w:shd w:fill="auto" w:val="clear"/>
                </w:tcPr>
                <w:p w:rsidR="00000000" w:rsidDel="00000000" w:rsidP="00000000" w:rsidRDefault="00000000" w:rsidRPr="00000000" w14:paraId="000000DB">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D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DD">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（注）(1)～(6)の取組においては、必要に応じて実施内容を補足説明するための書類を添付するものとする。</w:t>
            </w:r>
          </w:p>
          <w:p w:rsidR="00000000" w:rsidDel="00000000" w:rsidP="00000000" w:rsidRDefault="00000000" w:rsidRPr="00000000" w14:paraId="000000DE">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DF">
      <w:pPr>
        <w:spacing w:line="240" w:lineRule="auto"/>
        <w:rPr>
          <w:rFonts w:ascii="MS Mincho" w:cs="MS Mincho" w:eastAsia="MS Mincho" w:hAnsi="MS Mincho"/>
          <w:sz w:val="24"/>
          <w:szCs w:val="24"/>
        </w:rPr>
      </w:pPr>
      <w:r w:rsidDel="00000000" w:rsidR="00000000" w:rsidRPr="00000000">
        <w:rPr>
          <w:rFonts w:ascii="MS Mincho" w:cs="MS Mincho" w:eastAsia="MS Mincho" w:hAnsi="MS Mincho"/>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E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1">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E2">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E3">
      <w:pPr>
        <w:spacing w:line="318" w:lineRule="auto"/>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様式第１６（第４０条関係）（第六面）</w:t>
      </w:r>
    </w:p>
    <w:p w:rsidR="00000000" w:rsidDel="00000000" w:rsidP="00000000" w:rsidRDefault="00000000" w:rsidRPr="00000000" w14:paraId="000000E4">
      <w:pPr>
        <w:spacing w:line="260" w:lineRule="auto"/>
        <w:ind w:left="969" w:right="709" w:hanging="442"/>
        <w:rPr>
          <w:rFonts w:ascii="MS Mincho" w:cs="MS Mincho" w:eastAsia="MS Mincho" w:hAnsi="MS Mincho"/>
        </w:rPr>
      </w:pPr>
      <w:r w:rsidDel="00000000" w:rsidR="00000000" w:rsidRPr="00000000">
        <w:rPr>
          <w:rtl w:val="0"/>
        </w:rPr>
      </w:r>
    </w:p>
    <w:p w:rsidR="00000000" w:rsidDel="00000000" w:rsidP="00000000" w:rsidRDefault="00000000" w:rsidRPr="00000000" w14:paraId="000000E5">
      <w:pPr>
        <w:spacing w:line="260" w:lineRule="auto"/>
        <w:ind w:left="969" w:right="709" w:hanging="969"/>
        <w:rPr>
          <w:rFonts w:ascii="MS Mincho" w:cs="MS Mincho" w:eastAsia="MS Mincho" w:hAnsi="MS Mincho"/>
        </w:rPr>
      </w:pPr>
      <w:r w:rsidDel="00000000" w:rsidR="00000000" w:rsidRPr="00000000">
        <w:rPr>
          <w:rFonts w:ascii="MS Mincho" w:cs="MS Mincho" w:eastAsia="MS Mincho" w:hAnsi="MS Mincho"/>
          <w:rtl w:val="0"/>
        </w:rPr>
        <w:t xml:space="preserve">（記載要領）</w:t>
      </w:r>
    </w:p>
    <w:p w:rsidR="00000000" w:rsidDel="00000000" w:rsidP="00000000" w:rsidRDefault="00000000" w:rsidRPr="00000000" w14:paraId="000000E6">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１．「申請年月日」欄は、経済産業大臣に認定申請書を提出する年月日を記載すること。</w:t>
      </w:r>
    </w:p>
    <w:p w:rsidR="00000000" w:rsidDel="00000000" w:rsidP="00000000" w:rsidRDefault="00000000" w:rsidRPr="00000000" w14:paraId="000000E7">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２．「住所」欄は、一般事業主が法人の場合にあっては、主たる事務所の所在地を記載すること。</w:t>
      </w:r>
    </w:p>
    <w:p w:rsidR="00000000" w:rsidDel="00000000" w:rsidP="00000000" w:rsidRDefault="00000000" w:rsidRPr="00000000" w14:paraId="000000E8">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３．一般事業主が法人の場合であって法人番号が記入されている場合は、一般事業主の氏名又は名称、代表者の氏名、住所の記載を省略することができる。</w:t>
      </w:r>
    </w:p>
    <w:p w:rsidR="00000000" w:rsidDel="00000000" w:rsidP="00000000" w:rsidRDefault="00000000" w:rsidRPr="00000000" w14:paraId="000000E9">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４．申請を行う類型について、該当するものの番号を○で囲むこと。</w:t>
      </w:r>
    </w:p>
    <w:p w:rsidR="00000000" w:rsidDel="00000000" w:rsidP="00000000" w:rsidRDefault="00000000" w:rsidRPr="00000000" w14:paraId="000000EA">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５．申請内容は正しく記載すること。認定後、虚偽または不正の申請を行ったことが判明した場合には、認定の取消し等所要の措置を講ずることがある。</w:t>
      </w:r>
    </w:p>
    <w:p w:rsidR="00000000" w:rsidDel="00000000" w:rsidP="00000000" w:rsidRDefault="00000000" w:rsidRPr="00000000" w14:paraId="000000EB">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EC">
      <w:pPr>
        <w:spacing w:after="120" w:line="260" w:lineRule="auto"/>
        <w:ind w:left="425" w:right="25" w:hanging="393"/>
        <w:rPr>
          <w:rFonts w:ascii="MS Mincho" w:cs="MS Mincho" w:eastAsia="MS Mincho" w:hAnsi="MS Mincho"/>
        </w:rPr>
      </w:pPr>
      <w:r w:rsidDel="00000000" w:rsidR="00000000" w:rsidRPr="00000000">
        <w:rPr>
          <w:rtl w:val="0"/>
        </w:rPr>
      </w:r>
    </w:p>
    <w:p w:rsidR="00000000" w:rsidDel="00000000" w:rsidP="00000000" w:rsidRDefault="00000000" w:rsidRPr="00000000" w14:paraId="000000ED">
      <w:pPr>
        <w:spacing w:after="120" w:line="260" w:lineRule="auto"/>
        <w:ind w:right="25"/>
        <w:rPr>
          <w:rFonts w:ascii="MS Mincho" w:cs="MS Mincho" w:eastAsia="MS Mincho" w:hAnsi="MS Mincho"/>
          <w:sz w:val="24"/>
          <w:szCs w:val="24"/>
        </w:rPr>
      </w:pPr>
      <w:r w:rsidDel="00000000" w:rsidR="00000000" w:rsidRPr="00000000">
        <w:rPr>
          <w:rtl w:val="0"/>
        </w:rPr>
      </w:r>
    </w:p>
    <w:sectPr>
      <w:pgSz w:h="16837" w:w="11905" w:orient="portrait"/>
      <w:pgMar w:bottom="855" w:top="855" w:left="1600" w:right="1633" w:header="140" w:footer="14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MS PGothic"/>
  <w:font w:name="明朝体"/>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evenAndOddHeaders w:val="1"/>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writeProtection w:cryptProviderType="rsaAES" w:cryptAlgorithmClass="hash" w:cryptAlgorithmType="typeAny" w:cryptAlgorithmSid="14" w:cryptSpinCount="100000" w:hash="1mpj0yC2taSosHrZzQEpvM5twzBNg7CdtmXDP5VjE43AsAa5ad0gyCkKVO/prYyfZaUEV/tpZw3fZ/+TmM2FRQ==" w:salt="Fvxx6RLmQEinKnkaKbUVXw=="/>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明朝体" w:cs="明朝体" w:eastAsia="明朝体" w:hAnsi="明朝体"/>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明朝体" w:cs="明朝体" w:eastAsia="明朝体" w:hAnsi="明朝体"/>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明朝体" w:cs="明朝体" w:eastAsia="明朝体" w:hAnsi="明朝体"/>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明朝体" w:cs="明朝体" w:eastAsia="明朝体" w:hAnsi="明朝体"/>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明朝体" w:cs="明朝体" w:eastAsia="明朝体" w:hAnsi="明朝体"/>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明朝体" w:cs="明朝体" w:eastAsia="明朝体" w:hAnsi="明朝体"/>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明朝体" w:cs="明朝体" w:eastAsia="明朝体" w:hAnsi="明朝体"/>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明朝体" w:cs="明朝体" w:eastAsia="明朝体" w:hAnsi="明朝体"/>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autoSpaceDE w:val="0"/>
      <w:autoSpaceDN w:val="0"/>
      <w:spacing w:line="481" w:lineRule="atLeast"/>
      <w:jc w:val="both"/>
    </w:pPr>
    <w:rPr>
      <w:spacing w:val="2"/>
      <w:kern w:val="2"/>
      <w:sz w:val="2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val="1"/>
    <w:rsid w:val="0071191E"/>
    <w:rPr>
      <w:rFonts w:ascii="Arial" w:eastAsia="ＭＳ ゴシック" w:hAnsi="Arial"/>
      <w:sz w:val="18"/>
      <w:szCs w:val="18"/>
    </w:rPr>
  </w:style>
  <w:style w:type="paragraph" w:styleId="ad">
    <w:name w:val="No Spacing"/>
    <w:uiPriority w:val="1"/>
    <w:qFormat w:val="1"/>
    <w:rsid w:val="00073C3C"/>
    <w:pPr>
      <w:widowControl w:val="0"/>
      <w:suppressAutoHyphens w:val="1"/>
      <w:kinsoku w:val="0"/>
      <w:wordWrap w:val="0"/>
      <w:overflowPunct w:val="0"/>
      <w:autoSpaceDE w:val="0"/>
      <w:autoSpaceDN w:val="0"/>
      <w:adjustRightInd w:val="0"/>
      <w:textAlignment w:val="baseline"/>
    </w:pPr>
    <w:rPr>
      <w:rFonts w:ascii="ＭＳ 明朝" w:cs="ＭＳ 明朝" w:eastAsia="ＭＳ 明朝" w:hAnsi="ＭＳ 明朝"/>
      <w:color w:val="000000"/>
      <w:sz w:val="24"/>
      <w:szCs w:val="24"/>
    </w:rPr>
  </w:style>
  <w:style w:type="table" w:styleId="ae">
    <w:name w:val="Table Grid"/>
    <w:basedOn w:val="a1"/>
    <w:rsid w:val="007877B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
    <w:name w:val="List Paragraph"/>
    <w:basedOn w:val="a"/>
    <w:uiPriority w:val="34"/>
    <w:qFormat w:val="1"/>
    <w:rsid w:val="00FF3FF1"/>
    <w:pPr>
      <w:autoSpaceDE w:val="1"/>
      <w:autoSpaceDN w:val="1"/>
      <w:spacing w:line="240" w:lineRule="auto"/>
      <w:ind w:left="840" w:leftChars="400"/>
    </w:pPr>
    <w:rPr>
      <w:rFonts w:ascii="Century" w:eastAsia="ＭＳ 明朝"/>
      <w:spacing w:val="0"/>
      <w:szCs w:val="24"/>
    </w:rPr>
  </w:style>
  <w:style w:type="paragraph" w:styleId="af0">
    <w:name w:val="Revision"/>
    <w:hidden w:val="1"/>
    <w:uiPriority w:val="99"/>
    <w:semiHidden w:val="1"/>
    <w:rsid w:val="002B18B1"/>
    <w:rPr>
      <w:spacing w:val="2"/>
      <w:kern w:val="2"/>
      <w:sz w:val="21"/>
    </w:rPr>
  </w:style>
  <w:style w:type="character" w:styleId="af1">
    <w:name w:val="annotation reference"/>
    <w:uiPriority w:val="99"/>
    <w:semiHidden w:val="1"/>
    <w:unhideWhenUsed w:val="1"/>
    <w:rsid w:val="00B52DB5"/>
    <w:rPr>
      <w:sz w:val="18"/>
      <w:szCs w:val="18"/>
    </w:rPr>
  </w:style>
  <w:style w:type="paragraph" w:styleId="af2">
    <w:name w:val="annotation text"/>
    <w:basedOn w:val="a"/>
    <w:link w:val="af3"/>
    <w:uiPriority w:val="99"/>
    <w:unhideWhenUsed w:val="1"/>
    <w:rsid w:val="00B52DB5"/>
    <w:pPr>
      <w:jc w:val="left"/>
    </w:pPr>
  </w:style>
  <w:style w:type="character" w:styleId="af3" w:customStyle="1">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val="1"/>
    <w:unhideWhenUsed w:val="1"/>
    <w:rsid w:val="00B52DB5"/>
    <w:rPr>
      <w:b w:val="1"/>
      <w:bCs w:val="1"/>
    </w:rPr>
  </w:style>
  <w:style w:type="character" w:styleId="af5" w:customStyle="1">
    <w:name w:val="コメント内容 (文字)"/>
    <w:link w:val="af4"/>
    <w:uiPriority w:val="99"/>
    <w:semiHidden w:val="1"/>
    <w:rsid w:val="00B52DB5"/>
    <w:rPr>
      <w:b w:val="1"/>
      <w:bCs w:val="1"/>
      <w:spacing w:val="2"/>
      <w:kern w:val="2"/>
      <w:sz w:val="2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2.0" w:type="dxa"/>
        <w:bottom w:w="0.0" w:type="dxa"/>
        <w:right w:w="52.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2p9DYJV2g0u4c5p+5ScDgscEg==">CgMxLjA4AHIhMXBzWi0xN1BSV1lTNlBwQklmSjUxWWhxSE9iU29Vcmlo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file>