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様式第１７（第</w:t>
      </w:r>
      <w:r w:rsidR="00F513A5" w:rsidRPr="00E577BF">
        <w:rPr>
          <w:rFonts w:ascii="ＭＳ 明朝" w:hAnsi="ＭＳ 明朝" w:cs="ＭＳ 明朝" w:hint="eastAsia"/>
          <w:spacing w:val="6"/>
          <w:kern w:val="0"/>
          <w:szCs w:val="21"/>
        </w:rPr>
        <w:t>４２</w:t>
      </w:r>
      <w:r w:rsidRPr="00E577BF">
        <w:rPr>
          <w:rFonts w:ascii="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14E2C82E" w:rsidR="00D1302E" w:rsidRPr="00E577BF" w:rsidRDefault="00A90D41" w:rsidP="00DD56DC">
            <w:pPr>
              <w:spacing w:line="260" w:lineRule="exact"/>
              <w:jc w:val="center"/>
              <w:rPr>
                <w:rFonts w:ascii="ＭＳ 明朝" w:hAnsi="ＭＳ 明朝"/>
                <w:spacing w:val="14"/>
                <w:kern w:val="0"/>
                <w:szCs w:val="21"/>
              </w:rPr>
            </w:pPr>
            <w:r>
              <w:rPr>
                <w:rFonts w:ascii="ＭＳ 明朝" w:hAnsi="ＭＳ 明朝" w:cs="ＭＳ 明朝"/>
                <w:noProof/>
                <w:spacing w:val="6"/>
                <w:kern w:val="0"/>
                <w:szCs w:val="21"/>
              </w:rPr>
              <w:pict w14:anchorId="5483EF33">
                <v:oval id="_x0000_s2050" style="position:absolute;left:0;text-align:left;margin-left:106.5pt;margin-top:204.5pt;width:46pt;height:14.25pt;z-index:251658240" filled="f">
                  <v:textbox inset="5.85pt,.7pt,5.85pt,.7pt"/>
                </v:oval>
              </w:pict>
            </w:r>
            <w:r w:rsidR="00D1302E"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hAnsi="ＭＳ 明朝" w:cs="ＭＳ 明朝"/>
                <w:spacing w:val="6"/>
                <w:kern w:val="0"/>
                <w:szCs w:val="21"/>
              </w:rPr>
            </w:pPr>
          </w:p>
          <w:p w14:paraId="12051568" w14:textId="00AA5F51" w:rsidR="00EB6D2C" w:rsidRPr="00E577BF" w:rsidRDefault="00D1302E" w:rsidP="00DD56DC">
            <w:pPr>
              <w:spacing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申請年月日　</w:t>
            </w:r>
            <w:r w:rsidR="005E7BF1">
              <w:rPr>
                <w:rFonts w:ascii="ＭＳ 明朝" w:hAnsi="ＭＳ 明朝" w:hint="eastAsia"/>
                <w:spacing w:val="6"/>
                <w:kern w:val="0"/>
                <w:szCs w:val="21"/>
              </w:rPr>
              <w:t>２０２５</w:t>
            </w:r>
            <w:r w:rsidRPr="00E577BF">
              <w:rPr>
                <w:rFonts w:ascii="ＭＳ 明朝" w:hAnsi="ＭＳ 明朝" w:cs="ＭＳ 明朝" w:hint="eastAsia"/>
                <w:spacing w:val="6"/>
                <w:kern w:val="0"/>
                <w:szCs w:val="21"/>
              </w:rPr>
              <w:t xml:space="preserve">年　</w:t>
            </w:r>
            <w:r w:rsidR="005E7BF1">
              <w:rPr>
                <w:rFonts w:ascii="ＭＳ 明朝" w:hAnsi="ＭＳ 明朝" w:cs="ＭＳ 明朝" w:hint="eastAsia"/>
                <w:spacing w:val="6"/>
                <w:kern w:val="0"/>
                <w:szCs w:val="21"/>
              </w:rPr>
              <w:t>４</w:t>
            </w:r>
            <w:r w:rsidRPr="00E577BF">
              <w:rPr>
                <w:rFonts w:ascii="ＭＳ 明朝" w:hAnsi="ＭＳ 明朝" w:cs="ＭＳ 明朝" w:hint="eastAsia"/>
                <w:spacing w:val="6"/>
                <w:kern w:val="0"/>
                <w:szCs w:val="21"/>
              </w:rPr>
              <w:t xml:space="preserve">月　</w:t>
            </w:r>
            <w:r w:rsidR="00450EE3">
              <w:rPr>
                <w:rFonts w:ascii="ＭＳ 明朝" w:hAnsi="ＭＳ 明朝" w:cs="ＭＳ 明朝" w:hint="eastAsia"/>
                <w:spacing w:val="6"/>
                <w:kern w:val="0"/>
                <w:szCs w:val="21"/>
              </w:rPr>
              <w:t>１</w:t>
            </w:r>
            <w:r w:rsidRPr="00E577BF">
              <w:rPr>
                <w:rFonts w:ascii="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hAnsi="ＭＳ 明朝"/>
                <w:spacing w:val="14"/>
                <w:kern w:val="0"/>
                <w:szCs w:val="21"/>
              </w:rPr>
            </w:pPr>
            <w:r w:rsidRPr="00E577BF">
              <w:rPr>
                <w:rFonts w:ascii="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hAnsi="ＭＳ 明朝"/>
                <w:spacing w:val="14"/>
                <w:kern w:val="0"/>
                <w:szCs w:val="21"/>
              </w:rPr>
            </w:pPr>
            <w:r w:rsidRPr="00E577BF">
              <w:rPr>
                <w:rFonts w:ascii="ＭＳ 明朝" w:hAnsi="ＭＳ 明朝" w:cs="ＭＳ 明朝" w:hint="eastAsia"/>
                <w:spacing w:val="6"/>
                <w:kern w:val="0"/>
                <w:szCs w:val="21"/>
              </w:rPr>
              <w:t xml:space="preserve">　　経済産業大臣</w:t>
            </w:r>
            <w:r w:rsidR="00EB6D2C" w:rsidRPr="00E577BF">
              <w:rPr>
                <w:rFonts w:ascii="ＭＳ 明朝" w:hAnsi="ＭＳ 明朝" w:cs="ＭＳ 明朝" w:hint="eastAsia"/>
                <w:spacing w:val="6"/>
                <w:kern w:val="0"/>
                <w:szCs w:val="21"/>
              </w:rPr>
              <w:t xml:space="preserve">　殿</w:t>
            </w:r>
          </w:p>
          <w:p w14:paraId="28033A71" w14:textId="2E27AE91" w:rsidR="00D1302E" w:rsidRPr="00E577BF" w:rsidRDefault="00D1302E" w:rsidP="00FB5182">
            <w:pPr>
              <w:wordWrap w:val="0"/>
              <w:spacing w:line="260" w:lineRule="exact"/>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5E7BF1" w:rsidRPr="00880AD4">
              <w:rPr>
                <w:rFonts w:ascii="ＭＳ 明朝" w:hAnsi="ＭＳ 明朝" w:hint="eastAsia"/>
                <w:spacing w:val="6"/>
                <w:kern w:val="0"/>
                <w:szCs w:val="21"/>
              </w:rPr>
              <w:t>とうしばえねるぎーしすてむずかぶしきがいしゃ</w:t>
            </w:r>
            <w:r w:rsidR="00FB5182" w:rsidRPr="00E577BF">
              <w:rPr>
                <w:rFonts w:ascii="ＭＳ 明朝" w:hAnsi="ＭＳ 明朝" w:hint="eastAsia"/>
                <w:spacing w:val="6"/>
                <w:kern w:val="0"/>
                <w:szCs w:val="21"/>
              </w:rPr>
              <w:t xml:space="preserve"> </w:t>
            </w:r>
          </w:p>
          <w:p w14:paraId="1EE5CAB5" w14:textId="48C9E335" w:rsidR="00D1302E" w:rsidRPr="00E577BF" w:rsidRDefault="00D1302E" w:rsidP="00C23001">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一般事業主の氏名又は名称</w:t>
            </w:r>
            <w:r w:rsidR="005E7BF1">
              <w:rPr>
                <w:rFonts w:ascii="ＭＳ 明朝" w:hAnsi="ＭＳ 明朝" w:cs="ＭＳ 明朝" w:hint="eastAsia"/>
                <w:spacing w:val="6"/>
                <w:kern w:val="0"/>
                <w:szCs w:val="21"/>
              </w:rPr>
              <w:t xml:space="preserve">　</w:t>
            </w:r>
            <w:r w:rsidR="005E7BF1" w:rsidRPr="00287EDE">
              <w:rPr>
                <w:rFonts w:ascii="ＭＳ 明朝" w:hAnsi="ＭＳ 明朝" w:cs="ＭＳ 明朝" w:hint="eastAsia"/>
                <w:spacing w:val="6"/>
                <w:kern w:val="0"/>
                <w:szCs w:val="21"/>
              </w:rPr>
              <w:t>東芝エネルギーシステムズ株式会社</w:t>
            </w:r>
            <w:r w:rsidRPr="00E577BF">
              <w:rPr>
                <w:rFonts w:ascii="ＭＳ 明朝" w:hAnsi="ＭＳ 明朝" w:cs="ＭＳ 明朝" w:hint="eastAsia"/>
                <w:spacing w:val="6"/>
                <w:kern w:val="0"/>
                <w:szCs w:val="21"/>
              </w:rPr>
              <w:t xml:space="preserve"> </w:t>
            </w:r>
          </w:p>
          <w:p w14:paraId="709E4A6F" w14:textId="59581DB7" w:rsidR="00D1302E" w:rsidRPr="00E577BF" w:rsidRDefault="00D1302E" w:rsidP="00FB5182">
            <w:pPr>
              <w:wordWrap w:val="0"/>
              <w:spacing w:line="260" w:lineRule="exact"/>
              <w:ind w:leftChars="2" w:left="4"/>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FB5182" w:rsidRPr="00E577BF">
              <w:rPr>
                <w:rFonts w:ascii="ＭＳ 明朝" w:hAnsi="ＭＳ 明朝" w:hint="eastAsia"/>
                <w:spacing w:val="6"/>
                <w:kern w:val="0"/>
                <w:szCs w:val="21"/>
              </w:rPr>
              <w:t xml:space="preserve">     </w:t>
            </w:r>
            <w:r w:rsidR="00880AD4">
              <w:rPr>
                <w:rFonts w:ascii="ＭＳ 明朝" w:hAnsi="ＭＳ 明朝" w:hint="eastAsia"/>
                <w:spacing w:val="6"/>
                <w:kern w:val="0"/>
                <w:szCs w:val="21"/>
              </w:rPr>
              <w:t>しまだ　たろう</w:t>
            </w:r>
            <w:r w:rsidR="00FB5182" w:rsidRPr="00E577BF">
              <w:rPr>
                <w:rFonts w:ascii="ＭＳ 明朝" w:hAnsi="ＭＳ 明朝" w:hint="eastAsia"/>
                <w:spacing w:val="6"/>
                <w:kern w:val="0"/>
                <w:szCs w:val="21"/>
              </w:rPr>
              <w:t xml:space="preserve"> </w:t>
            </w:r>
          </w:p>
          <w:p w14:paraId="039A6583" w14:textId="31EDA5C0" w:rsidR="00D1302E" w:rsidRPr="00E577BF" w:rsidRDefault="00D1302E" w:rsidP="00FB5182">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（法人の場合）代表者の氏名</w:t>
            </w:r>
            <w:r w:rsidR="00880AD4">
              <w:rPr>
                <w:rFonts w:ascii="ＭＳ 明朝" w:hAnsi="ＭＳ 明朝" w:cs="ＭＳ 明朝" w:hint="eastAsia"/>
                <w:spacing w:val="6"/>
                <w:kern w:val="0"/>
                <w:szCs w:val="21"/>
              </w:rPr>
              <w:t xml:space="preserve">　　</w:t>
            </w:r>
            <w:r w:rsidRPr="00E577BF">
              <w:rPr>
                <w:rFonts w:ascii="ＭＳ 明朝" w:hAnsi="ＭＳ 明朝"/>
                <w:spacing w:val="6"/>
                <w:kern w:val="0"/>
                <w:szCs w:val="21"/>
              </w:rPr>
              <w:t xml:space="preserve"> </w:t>
            </w:r>
            <w:r w:rsidR="00880AD4" w:rsidRPr="00880AD4">
              <w:rPr>
                <w:rFonts w:ascii="ＭＳ 明朝" w:hAnsi="ＭＳ 明朝" w:hint="eastAsia"/>
                <w:spacing w:val="6"/>
                <w:kern w:val="0"/>
                <w:szCs w:val="21"/>
              </w:rPr>
              <w:t>島田　太郎</w:t>
            </w:r>
            <w:r w:rsidR="00880AD4">
              <w:rPr>
                <w:rFonts w:ascii="ＭＳ 明朝" w:hAnsi="ＭＳ 明朝" w:hint="eastAsia"/>
                <w:spacing w:val="6"/>
                <w:kern w:val="0"/>
                <w:szCs w:val="21"/>
              </w:rPr>
              <w:t xml:space="preserve">　　</w:t>
            </w:r>
            <w:r w:rsidR="00FB5182" w:rsidRPr="00E577BF">
              <w:rPr>
                <w:rFonts w:ascii="ＭＳ 明朝" w:hAnsi="ＭＳ 明朝" w:cs="ＭＳ 明朝" w:hint="eastAsia"/>
                <w:spacing w:val="6"/>
                <w:kern w:val="0"/>
                <w:szCs w:val="21"/>
              </w:rPr>
              <w:t xml:space="preserve"> </w:t>
            </w:r>
          </w:p>
          <w:p w14:paraId="5534F654" w14:textId="0B33BD1E" w:rsidR="00D1302E" w:rsidRPr="00E577BF" w:rsidRDefault="00D1302E" w:rsidP="00DD56DC">
            <w:pPr>
              <w:spacing w:afterLines="50" w:after="120" w:line="260" w:lineRule="exact"/>
              <w:ind w:firstLineChars="51" w:firstLine="707"/>
              <w:rPr>
                <w:rFonts w:ascii="ＭＳ 明朝" w:hAnsi="ＭＳ 明朝" w:cs="ＭＳ 明朝"/>
                <w:spacing w:val="6"/>
                <w:kern w:val="0"/>
                <w:szCs w:val="21"/>
              </w:rPr>
            </w:pPr>
            <w:r w:rsidRPr="00E577BF">
              <w:rPr>
                <w:rFonts w:ascii="ＭＳ 明朝" w:hAnsi="ＭＳ 明朝" w:cs="ＭＳ 明朝" w:hint="eastAsia"/>
                <w:spacing w:val="588"/>
                <w:kern w:val="0"/>
                <w:szCs w:val="21"/>
                <w:fitText w:val="1596" w:id="-2095224320"/>
              </w:rPr>
              <w:t>住</w:t>
            </w:r>
            <w:r w:rsidRPr="00E577BF">
              <w:rPr>
                <w:rFonts w:ascii="ＭＳ 明朝" w:hAnsi="ＭＳ 明朝" w:cs="ＭＳ 明朝" w:hint="eastAsia"/>
                <w:spacing w:val="0"/>
                <w:kern w:val="0"/>
                <w:szCs w:val="21"/>
                <w:fitText w:val="1596" w:id="-2095224320"/>
              </w:rPr>
              <w:t>所</w:t>
            </w:r>
            <w:r w:rsidRPr="00E577BF">
              <w:rPr>
                <w:rFonts w:ascii="ＭＳ 明朝" w:hAnsi="ＭＳ 明朝" w:cs="ＭＳ 明朝" w:hint="eastAsia"/>
                <w:spacing w:val="6"/>
                <w:kern w:val="0"/>
                <w:szCs w:val="21"/>
              </w:rPr>
              <w:t xml:space="preserve">　〒</w:t>
            </w:r>
            <w:r w:rsidR="005E7BF1">
              <w:rPr>
                <w:rFonts w:ascii="ＭＳ 明朝" w:hAnsi="ＭＳ 明朝" w:cs="ＭＳ 明朝" w:hint="eastAsia"/>
                <w:spacing w:val="6"/>
                <w:kern w:val="0"/>
                <w:szCs w:val="21"/>
              </w:rPr>
              <w:t>２１２－００１３</w:t>
            </w:r>
          </w:p>
          <w:p w14:paraId="6BDAE701" w14:textId="57E90139" w:rsidR="00D1302E" w:rsidRPr="005E7BF1" w:rsidRDefault="005E7BF1" w:rsidP="005E7BF1">
            <w:pPr>
              <w:spacing w:afterLines="50" w:after="120" w:line="260" w:lineRule="exact"/>
              <w:ind w:leftChars="1261" w:left="2699"/>
              <w:rPr>
                <w:rFonts w:ascii="ＭＳ 明朝" w:hAnsi="ＭＳ 明朝"/>
                <w:spacing w:val="14"/>
                <w:kern w:val="0"/>
                <w:szCs w:val="21"/>
              </w:rPr>
            </w:pPr>
            <w:r w:rsidRPr="00287EDE">
              <w:rPr>
                <w:rFonts w:ascii="ＭＳ 明朝" w:hAnsi="ＭＳ 明朝" w:hint="eastAsia"/>
                <w:spacing w:val="14"/>
                <w:kern w:val="0"/>
                <w:szCs w:val="21"/>
              </w:rPr>
              <w:t>神奈川県川崎市幸区堀川町72番地34</w:t>
            </w:r>
          </w:p>
          <w:p w14:paraId="47DD002F" w14:textId="46FDCAEC" w:rsidR="00D1302E" w:rsidRPr="00E577BF" w:rsidRDefault="00D1302E" w:rsidP="00DD56DC">
            <w:pPr>
              <w:spacing w:afterLines="100" w:after="240" w:line="260" w:lineRule="exact"/>
              <w:ind w:leftChars="2204" w:left="4717"/>
              <w:rPr>
                <w:rFonts w:ascii="ＭＳ 明朝" w:hAnsi="ＭＳ 明朝"/>
                <w:spacing w:val="14"/>
                <w:kern w:val="0"/>
                <w:szCs w:val="21"/>
              </w:rPr>
            </w:pPr>
            <w:r w:rsidRPr="00E577BF">
              <w:rPr>
                <w:rFonts w:ascii="ＭＳ 明朝" w:hAnsi="ＭＳ 明朝" w:cs="ＭＳ 明朝" w:hint="eastAsia"/>
                <w:kern w:val="0"/>
                <w:szCs w:val="21"/>
              </w:rPr>
              <w:t>法人番号</w:t>
            </w:r>
            <w:r w:rsidR="005E7BF1">
              <w:rPr>
                <w:rFonts w:ascii="ＭＳ 明朝" w:hAnsi="ＭＳ 明朝" w:cs="ＭＳ 明朝" w:hint="eastAsia"/>
                <w:kern w:val="0"/>
                <w:szCs w:val="21"/>
              </w:rPr>
              <w:t>７０２０００１１２１２００</w:t>
            </w:r>
          </w:p>
          <w:p w14:paraId="045CD76E" w14:textId="758024F6" w:rsidR="00D1302E" w:rsidRPr="00E577BF" w:rsidRDefault="00D1302E" w:rsidP="00DD56DC">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情報処理の促進に関する法律第</w:t>
            </w:r>
            <w:r w:rsidR="00632325" w:rsidRPr="00E577BF">
              <w:rPr>
                <w:rFonts w:ascii="ＭＳ 明朝" w:hAnsi="ＭＳ 明朝" w:cs="ＭＳ 明朝" w:hint="eastAsia"/>
                <w:spacing w:val="6"/>
                <w:kern w:val="0"/>
                <w:szCs w:val="21"/>
              </w:rPr>
              <w:t>３２</w:t>
            </w:r>
            <w:r w:rsidRPr="00E577BF">
              <w:rPr>
                <w:rFonts w:ascii="ＭＳ 明朝" w:hAnsi="ＭＳ 明朝" w:cs="ＭＳ 明朝" w:hint="eastAsia"/>
                <w:spacing w:val="6"/>
                <w:kern w:val="0"/>
                <w:szCs w:val="21"/>
              </w:rPr>
              <w:t>条</w:t>
            </w:r>
            <w:r w:rsidR="00F513A5" w:rsidRPr="00E577BF">
              <w:rPr>
                <w:rFonts w:ascii="ＭＳ 明朝" w:hAnsi="ＭＳ 明朝" w:cs="ＭＳ 明朝" w:hint="eastAsia"/>
                <w:spacing w:val="6"/>
                <w:kern w:val="0"/>
                <w:szCs w:val="21"/>
              </w:rPr>
              <w:t>第１項</w:t>
            </w:r>
            <w:r w:rsidR="00A3783B" w:rsidRPr="00E577BF">
              <w:rPr>
                <w:rFonts w:ascii="ＭＳ 明朝" w:hAnsi="ＭＳ 明朝" w:cs="ＭＳ 明朝" w:hint="eastAsia"/>
                <w:spacing w:val="6"/>
                <w:kern w:val="0"/>
                <w:szCs w:val="21"/>
              </w:rPr>
              <w:t>に基づき、</w:t>
            </w:r>
            <w:r w:rsidR="00A3783B" w:rsidRPr="00E577BF">
              <w:rPr>
                <w:rStyle w:val="ui-provider"/>
                <w:rFonts w:ascii="ＭＳ 明朝" w:hAnsi="ＭＳ 明朝"/>
              </w:rPr>
              <w:t>情報処理の促進に関する法律施行規則第４１条（</w:t>
            </w:r>
            <w:r w:rsidR="00A3783B" w:rsidRPr="00E577BF">
              <w:rPr>
                <w:rStyle w:val="ui-provider"/>
                <w:rFonts w:ascii="ＭＳ 明朝" w:hAnsi="ＭＳ 明朝" w:cs="ＭＳ 明朝" w:hint="eastAsia"/>
              </w:rPr>
              <w:t>①</w:t>
            </w:r>
            <w:r w:rsidR="00A3783B" w:rsidRPr="00E577BF">
              <w:rPr>
                <w:rStyle w:val="ui-provider"/>
                <w:rFonts w:ascii="ＭＳ 明朝" w:hAnsi="ＭＳ 明朝"/>
              </w:rPr>
              <w:t>第１号、</w:t>
            </w:r>
            <w:r w:rsidR="00A3783B" w:rsidRPr="00E577BF">
              <w:rPr>
                <w:rStyle w:val="ui-provider"/>
                <w:rFonts w:ascii="ＭＳ 明朝" w:hAnsi="ＭＳ 明朝" w:cs="ＭＳ 明朝" w:hint="eastAsia"/>
              </w:rPr>
              <w:t>②</w:t>
            </w:r>
            <w:r w:rsidR="00A3783B" w:rsidRPr="00E577BF">
              <w:rPr>
                <w:rStyle w:val="ui-provider"/>
                <w:rFonts w:ascii="ＭＳ 明朝" w:hAnsi="ＭＳ 明朝"/>
              </w:rPr>
              <w:t>第２号）</w:t>
            </w:r>
            <w:r w:rsidR="00D97462" w:rsidRPr="00E577BF">
              <w:rPr>
                <w:rStyle w:val="ui-provider"/>
                <w:rFonts w:ascii="ＭＳ 明朝" w:hAnsi="ＭＳ 明朝" w:hint="eastAsia"/>
              </w:rPr>
              <w:t>に掲げる</w:t>
            </w:r>
            <w:r w:rsidR="00A3783B" w:rsidRPr="00E577BF">
              <w:rPr>
                <w:rStyle w:val="ui-provider"/>
                <w:rFonts w:ascii="ＭＳ 明朝" w:hAnsi="ＭＳ 明朝" w:hint="eastAsia"/>
              </w:rPr>
              <w:t>基準</w:t>
            </w:r>
            <w:r w:rsidR="00A3783B" w:rsidRPr="00E577BF">
              <w:rPr>
                <w:rFonts w:ascii="ＭＳ 明朝" w:hAnsi="ＭＳ 明朝" w:cs="ＭＳ 明朝" w:hint="eastAsia"/>
                <w:spacing w:val="6"/>
                <w:kern w:val="0"/>
                <w:szCs w:val="21"/>
              </w:rPr>
              <w:t>による</w:t>
            </w:r>
            <w:r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の更新</w:t>
            </w:r>
            <w:r w:rsidRPr="00E577BF">
              <w:rPr>
                <w:rFonts w:ascii="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63885A4A"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E577BF">
              <w:rPr>
                <w:rFonts w:ascii="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6933D8C6" w14:textId="77777777" w:rsidR="00F062FE" w:rsidRDefault="00F062FE" w:rsidP="00F062FE">
                  <w:pPr>
                    <w:numPr>
                      <w:ilvl w:val="0"/>
                      <w:numId w:val="5"/>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4687">
                    <w:rPr>
                      <w:rFonts w:ascii="ＭＳ 明朝" w:hAnsi="ＭＳ 明朝" w:cs="ＭＳ 明朝" w:hint="eastAsia"/>
                      <w:spacing w:val="6"/>
                      <w:kern w:val="0"/>
                      <w:szCs w:val="21"/>
                    </w:rPr>
                    <w:t>東芝エネルギーシステムズのビジョン</w:t>
                  </w:r>
                </w:p>
                <w:p w14:paraId="200ADAF6" w14:textId="767F7229" w:rsidR="00D1302E" w:rsidRPr="00F062FE" w:rsidRDefault="00F062FE" w:rsidP="00DD56DC">
                  <w:pPr>
                    <w:numPr>
                      <w:ilvl w:val="0"/>
                      <w:numId w:val="5"/>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062FE">
                    <w:rPr>
                      <w:rFonts w:ascii="ＭＳ 明朝" w:hAnsi="ＭＳ 明朝" w:cs="ＭＳ 明朝" w:hint="eastAsia"/>
                      <w:spacing w:val="6"/>
                      <w:kern w:val="0"/>
                      <w:szCs w:val="21"/>
                    </w:rPr>
                    <w:t>デジタルトランスフォーメーションに関する取り組み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37B7B55B" w14:textId="30D7D80E" w:rsidR="00F062FE" w:rsidRDefault="00F062FE" w:rsidP="00F062FE">
                  <w:pPr>
                    <w:numPr>
                      <w:ilvl w:val="0"/>
                      <w:numId w:val="6"/>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019</w:t>
                  </w:r>
                  <w:r w:rsidRPr="00DD56DC">
                    <w:rPr>
                      <w:rFonts w:ascii="ＭＳ 明朝" w:hAnsi="ＭＳ 明朝" w:cs="ＭＳ 明朝" w:hint="eastAsia"/>
                      <w:spacing w:val="6"/>
                      <w:kern w:val="0"/>
                      <w:szCs w:val="21"/>
                    </w:rPr>
                    <w:t>年</w:t>
                  </w:r>
                  <w:r w:rsidR="00101B58">
                    <w:rPr>
                      <w:rFonts w:ascii="ＭＳ 明朝" w:hAnsi="ＭＳ 明朝" w:cs="ＭＳ 明朝" w:hint="eastAsia"/>
                      <w:spacing w:val="6"/>
                      <w:kern w:val="0"/>
                      <w:szCs w:val="21"/>
                    </w:rPr>
                    <w:t>2</w:t>
                  </w:r>
                  <w:r w:rsidRPr="00DD56DC">
                    <w:rPr>
                      <w:rFonts w:ascii="ＭＳ 明朝" w:hAnsi="ＭＳ 明朝" w:cs="ＭＳ 明朝" w:hint="eastAsia"/>
                      <w:spacing w:val="6"/>
                      <w:kern w:val="0"/>
                      <w:szCs w:val="21"/>
                    </w:rPr>
                    <w:t>月</w:t>
                  </w:r>
                  <w:r w:rsidR="00101B58">
                    <w:rPr>
                      <w:rFonts w:ascii="ＭＳ 明朝" w:hAnsi="ＭＳ 明朝" w:cs="ＭＳ 明朝" w:hint="eastAsia"/>
                      <w:spacing w:val="6"/>
                      <w:kern w:val="0"/>
                      <w:szCs w:val="21"/>
                    </w:rPr>
                    <w:t>13</w:t>
                  </w:r>
                  <w:r w:rsidRPr="00DD56DC">
                    <w:rPr>
                      <w:rFonts w:ascii="ＭＳ 明朝" w:hAnsi="ＭＳ 明朝" w:cs="ＭＳ 明朝" w:hint="eastAsia"/>
                      <w:spacing w:val="6"/>
                      <w:kern w:val="0"/>
                      <w:szCs w:val="21"/>
                    </w:rPr>
                    <w:t>日</w:t>
                  </w:r>
                </w:p>
                <w:p w14:paraId="5054374B" w14:textId="633679C4" w:rsidR="00D1302E" w:rsidRPr="00F062FE" w:rsidRDefault="00F062FE" w:rsidP="00F062FE">
                  <w:pPr>
                    <w:numPr>
                      <w:ilvl w:val="0"/>
                      <w:numId w:val="6"/>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062FE">
                    <w:rPr>
                      <w:rFonts w:ascii="ＭＳ 明朝" w:hAnsi="ＭＳ 明朝" w:cs="ＭＳ 明朝" w:hint="eastAsia"/>
                      <w:spacing w:val="6"/>
                      <w:kern w:val="0"/>
                      <w:szCs w:val="21"/>
                    </w:rPr>
                    <w:t>2</w:t>
                  </w:r>
                  <w:r w:rsidRPr="00F062FE">
                    <w:rPr>
                      <w:rFonts w:ascii="ＭＳ 明朝" w:hAnsi="ＭＳ 明朝" w:cs="ＭＳ 明朝"/>
                      <w:spacing w:val="6"/>
                      <w:kern w:val="0"/>
                      <w:szCs w:val="21"/>
                    </w:rPr>
                    <w:t>02</w:t>
                  </w:r>
                  <w:r w:rsidR="001732B2">
                    <w:rPr>
                      <w:rFonts w:ascii="ＭＳ 明朝" w:hAnsi="ＭＳ 明朝" w:cs="ＭＳ 明朝" w:hint="eastAsia"/>
                      <w:spacing w:val="6"/>
                      <w:kern w:val="0"/>
                      <w:szCs w:val="21"/>
                    </w:rPr>
                    <w:t>5</w:t>
                  </w:r>
                  <w:r w:rsidRPr="00F062FE">
                    <w:rPr>
                      <w:rFonts w:ascii="ＭＳ 明朝" w:hAnsi="ＭＳ 明朝" w:cs="ＭＳ 明朝" w:hint="eastAsia"/>
                      <w:spacing w:val="6"/>
                      <w:kern w:val="0"/>
                      <w:szCs w:val="21"/>
                    </w:rPr>
                    <w:t>年</w:t>
                  </w:r>
                  <w:r w:rsidR="001732B2">
                    <w:rPr>
                      <w:rFonts w:ascii="ＭＳ 明朝" w:hAnsi="ＭＳ 明朝" w:cs="ＭＳ 明朝" w:hint="eastAsia"/>
                      <w:spacing w:val="6"/>
                      <w:kern w:val="0"/>
                      <w:szCs w:val="21"/>
                    </w:rPr>
                    <w:t>3</w:t>
                  </w:r>
                  <w:r w:rsidRPr="00F062FE">
                    <w:rPr>
                      <w:rFonts w:ascii="ＭＳ 明朝" w:hAnsi="ＭＳ 明朝" w:cs="ＭＳ 明朝" w:hint="eastAsia"/>
                      <w:spacing w:val="6"/>
                      <w:kern w:val="0"/>
                      <w:szCs w:val="21"/>
                    </w:rPr>
                    <w:t>月</w:t>
                  </w:r>
                  <w:r w:rsidR="00314A02">
                    <w:rPr>
                      <w:rFonts w:ascii="ＭＳ 明朝" w:hAnsi="ＭＳ 明朝" w:cs="ＭＳ 明朝" w:hint="eastAsia"/>
                      <w:spacing w:val="6"/>
                      <w:kern w:val="0"/>
                      <w:szCs w:val="21"/>
                    </w:rPr>
                    <w:t>24</w:t>
                  </w:r>
                  <w:r w:rsidRPr="00F062FE">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037CCDAE" w14:textId="77777777" w:rsidR="00F062FE" w:rsidRDefault="00F062FE" w:rsidP="00DD56DC">
                  <w:pPr>
                    <w:numPr>
                      <w:ilvl w:val="0"/>
                      <w:numId w:val="7"/>
                    </w:num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r>
                    <w:rPr>
                      <w:rFonts w:ascii="ＭＳ 明朝" w:hAnsi="ＭＳ 明朝" w:cs="ＭＳ 明朝" w:hint="eastAsia"/>
                      <w:spacing w:val="6"/>
                      <w:kern w:val="0"/>
                      <w:szCs w:val="21"/>
                    </w:rPr>
                    <w:t>【公表方法】当社</w:t>
                  </w:r>
                  <w:r w:rsidRPr="00107D45">
                    <w:rPr>
                      <w:rFonts w:ascii="ＭＳ 明朝" w:hAnsi="ＭＳ 明朝" w:cs="ＭＳ 明朝" w:hint="eastAsia"/>
                      <w:spacing w:val="6"/>
                      <w:kern w:val="0"/>
                      <w:szCs w:val="21"/>
                    </w:rPr>
                    <w:t>ホームページ</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企業情報</w:t>
                  </w:r>
                  <w:r w:rsidRPr="001A19C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w:t>
                  </w:r>
                  <w:r w:rsidRPr="001A19CF">
                    <w:rPr>
                      <w:rFonts w:ascii="ＭＳ 明朝" w:hAnsi="ＭＳ 明朝" w:cs="ＭＳ 明朝" w:hint="eastAsia"/>
                      <w:spacing w:val="6"/>
                      <w:kern w:val="0"/>
                      <w:szCs w:val="21"/>
                    </w:rPr>
                    <w:t>東芝エネルギーシステムズのビジョン</w:t>
                  </w:r>
                  <w:r>
                    <w:rPr>
                      <w:rFonts w:ascii="ＭＳ 明朝" w:hAnsi="ＭＳ 明朝" w:cs="ＭＳ 明朝" w:hint="eastAsia"/>
                      <w:spacing w:val="6"/>
                      <w:kern w:val="0"/>
                      <w:szCs w:val="21"/>
                    </w:rPr>
                    <w:t>」に記載</w:t>
                  </w:r>
                  <w:r>
                    <w:rPr>
                      <w:rFonts w:ascii="ＭＳ 明朝" w:hAnsi="ＭＳ 明朝" w:cs="ＭＳ 明朝"/>
                      <w:spacing w:val="6"/>
                      <w:kern w:val="0"/>
                      <w:szCs w:val="21"/>
                    </w:rPr>
                    <w:br/>
                  </w:r>
                  <w:r w:rsidRPr="00107D45">
                    <w:rPr>
                      <w:rFonts w:ascii="ＭＳ 明朝" w:hAnsi="ＭＳ 明朝" w:cs="ＭＳ 明朝" w:hint="eastAsia"/>
                      <w:spacing w:val="6"/>
                      <w:kern w:val="0"/>
                      <w:szCs w:val="21"/>
                    </w:rPr>
                    <w:t>【公表場所】</w:t>
                  </w:r>
                  <w:hyperlink r:id="rId8" w:history="1">
                    <w:r w:rsidRPr="00C56295">
                      <w:rPr>
                        <w:rStyle w:val="af6"/>
                        <w:rFonts w:ascii="ＭＳ 明朝" w:hAnsi="ＭＳ 明朝" w:cs="ＭＳ 明朝" w:hint="eastAsia"/>
                        <w:spacing w:val="6"/>
                        <w:kern w:val="0"/>
                        <w:szCs w:val="21"/>
                      </w:rPr>
                      <w:t>https://www.global.toshiba/jp/outline/energy/vision.html</w:t>
                    </w:r>
                  </w:hyperlink>
                </w:p>
                <w:p w14:paraId="2BFD86E1" w14:textId="211B7EF5" w:rsidR="00D1302E" w:rsidRPr="00F062FE" w:rsidRDefault="00F062FE" w:rsidP="00DD56DC">
                  <w:pPr>
                    <w:numPr>
                      <w:ilvl w:val="0"/>
                      <w:numId w:val="7"/>
                    </w:numPr>
                    <w:suppressAutoHyphens/>
                    <w:kinsoku w:val="0"/>
                    <w:overflowPunct w:val="0"/>
                    <w:adjustRightInd w:val="0"/>
                    <w:spacing w:afterLines="50" w:after="120" w:line="238" w:lineRule="exact"/>
                    <w:jc w:val="left"/>
                    <w:textAlignment w:val="center"/>
                    <w:rPr>
                      <w:rFonts w:ascii="ＭＳ 明朝" w:hAnsi="ＭＳ 明朝" w:cs="ＭＳ 明朝"/>
                      <w:color w:val="0563C1"/>
                      <w:spacing w:val="6"/>
                      <w:kern w:val="0"/>
                      <w:szCs w:val="21"/>
                      <w:u w:val="single"/>
                    </w:rPr>
                  </w:pPr>
                  <w:r w:rsidRPr="00F062FE">
                    <w:rPr>
                      <w:rFonts w:ascii="ＭＳ 明朝" w:hAnsi="ＭＳ 明朝" w:cs="ＭＳ 明朝" w:hint="eastAsia"/>
                      <w:spacing w:val="6"/>
                      <w:kern w:val="0"/>
                      <w:szCs w:val="21"/>
                    </w:rPr>
                    <w:t>【公表方法】当社ホームページ</w:t>
                  </w:r>
                  <w:r w:rsidRPr="00F062FE">
                    <w:rPr>
                      <w:rFonts w:ascii="ＭＳ 明朝" w:hAnsi="ＭＳ 明朝" w:cs="ＭＳ 明朝"/>
                      <w:spacing w:val="6"/>
                      <w:kern w:val="0"/>
                      <w:szCs w:val="21"/>
                    </w:rPr>
                    <w:t xml:space="preserve"> </w:t>
                  </w:r>
                  <w:r w:rsidRPr="00F062FE">
                    <w:rPr>
                      <w:rFonts w:ascii="ＭＳ 明朝" w:hAnsi="ＭＳ 明朝" w:cs="ＭＳ 明朝" w:hint="eastAsia"/>
                      <w:spacing w:val="6"/>
                      <w:kern w:val="0"/>
                      <w:szCs w:val="21"/>
                    </w:rPr>
                    <w:t>企業情報 「デジタルトランスフォーメーションに関する取り組み」に記載</w:t>
                  </w:r>
                  <w:r w:rsidRPr="00F062FE">
                    <w:rPr>
                      <w:rFonts w:ascii="ＭＳ 明朝" w:hAnsi="ＭＳ 明朝" w:cs="ＭＳ 明朝"/>
                      <w:spacing w:val="6"/>
                      <w:kern w:val="0"/>
                      <w:szCs w:val="21"/>
                    </w:rPr>
                    <w:br/>
                  </w:r>
                  <w:r w:rsidRPr="00F062FE">
                    <w:rPr>
                      <w:rFonts w:ascii="ＭＳ 明朝" w:hAnsi="ＭＳ 明朝" w:cs="ＭＳ 明朝" w:hint="eastAsia"/>
                      <w:spacing w:val="6"/>
                      <w:kern w:val="0"/>
                      <w:szCs w:val="21"/>
                    </w:rPr>
                    <w:t>【公表場所】</w:t>
                  </w:r>
                  <w:r w:rsidRPr="00F062FE">
                    <w:rPr>
                      <w:rFonts w:ascii="ＭＳ 明朝" w:hAnsi="ＭＳ 明朝" w:cs="ＭＳ 明朝"/>
                      <w:spacing w:val="6"/>
                      <w:kern w:val="0"/>
                      <w:szCs w:val="21"/>
                    </w:rPr>
                    <w:br/>
                  </w:r>
                  <w:hyperlink r:id="rId9" w:history="1">
                    <w:r w:rsidRPr="00F062FE">
                      <w:rPr>
                        <w:rStyle w:val="af6"/>
                        <w:rFonts w:ascii="ＭＳ 明朝" w:hAnsi="ＭＳ 明朝" w:cs="ＭＳ 明朝"/>
                        <w:spacing w:val="6"/>
                        <w:kern w:val="0"/>
                        <w:szCs w:val="21"/>
                      </w:rPr>
                      <w:t>https://www.global.toshiba/jp/company/energy/dx-strategy.html</w:t>
                    </w:r>
                  </w:hyperlink>
                  <w:r w:rsidRPr="00F062FE">
                    <w:rPr>
                      <w:rFonts w:ascii="ＭＳ 明朝" w:hAnsi="ＭＳ 明朝" w:cs="ＭＳ 明朝"/>
                      <w:spacing w:val="6"/>
                      <w:kern w:val="0"/>
                      <w:szCs w:val="21"/>
                    </w:rPr>
                    <w:br/>
                  </w:r>
                  <w:r w:rsidRPr="00F062FE">
                    <w:rPr>
                      <w:rFonts w:ascii="ＭＳ 明朝" w:hAnsi="ＭＳ 明朝" w:cs="ＭＳ 明朝" w:hint="eastAsia"/>
                      <w:spacing w:val="6"/>
                      <w:kern w:val="0"/>
                      <w:szCs w:val="21"/>
                    </w:rPr>
                    <w:t>【記載箇所】デジタルトランスフォーメーション戦略に関するメッセージ</w:t>
                  </w:r>
                </w:p>
              </w:tc>
            </w:tr>
            <w:tr w:rsidR="00F062FE" w:rsidRPr="00E577BF" w14:paraId="3DE21F82" w14:textId="77777777" w:rsidTr="00F5566D">
              <w:trPr>
                <w:trHeight w:val="697"/>
              </w:trPr>
              <w:tc>
                <w:tcPr>
                  <w:tcW w:w="2600" w:type="dxa"/>
                  <w:shd w:val="clear" w:color="auto" w:fill="auto"/>
                </w:tcPr>
                <w:p w14:paraId="13313238" w14:textId="77777777" w:rsidR="00F062FE" w:rsidRPr="00E577BF" w:rsidRDefault="00F062FE" w:rsidP="00F062F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4018ACA9" w14:textId="77777777" w:rsidR="00F062FE" w:rsidRPr="00281626"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81626">
                    <w:rPr>
                      <w:rFonts w:ascii="ＭＳ 明朝" w:hAnsi="ＭＳ 明朝" w:cs="ＭＳ 明朝" w:hint="eastAsia"/>
                      <w:spacing w:val="6"/>
                      <w:kern w:val="0"/>
                      <w:szCs w:val="21"/>
                    </w:rPr>
                    <w:t>将来のエネルギーのあり方そのものをデザインする企業として、新しい未来を始動させる。</w:t>
                  </w:r>
                </w:p>
                <w:p w14:paraId="0DA4A783" w14:textId="77777777" w:rsidR="00F062FE"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81626">
                    <w:rPr>
                      <w:rFonts w:ascii="ＭＳ 明朝" w:hAnsi="ＭＳ 明朝" w:cs="ＭＳ 明朝" w:hint="eastAsia"/>
                      <w:spacing w:val="6"/>
                      <w:kern w:val="0"/>
                      <w:szCs w:val="21"/>
                    </w:rPr>
                    <w:t>それが、私たち東芝エネルギーシステムズのビジョンです。</w:t>
                  </w:r>
                </w:p>
                <w:p w14:paraId="00BB1773" w14:textId="77777777" w:rsidR="00F062FE" w:rsidRPr="003610E5"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Smart</w:t>
                  </w:r>
                  <w:r>
                    <w:rPr>
                      <w:rFonts w:ascii="ＭＳ 明朝" w:hAnsi="ＭＳ 明朝" w:cs="ＭＳ 明朝" w:hint="eastAsia"/>
                      <w:spacing w:val="6"/>
                      <w:kern w:val="0"/>
                      <w:szCs w:val="21"/>
                    </w:rPr>
                    <w:t>－</w:t>
                  </w:r>
                  <w:r w:rsidRPr="003610E5">
                    <w:rPr>
                      <w:rFonts w:ascii="ＭＳ 明朝" w:hAnsi="ＭＳ 明朝" w:cs="ＭＳ 明朝" w:hint="eastAsia"/>
                      <w:spacing w:val="6"/>
                      <w:kern w:val="0"/>
                      <w:szCs w:val="21"/>
                    </w:rPr>
                    <w:t>顧客価値を生む技術力</w:t>
                  </w:r>
                  <w:r>
                    <w:rPr>
                      <w:rFonts w:ascii="ＭＳ 明朝" w:hAnsi="ＭＳ 明朝" w:cs="ＭＳ 明朝" w:hint="eastAsia"/>
                      <w:spacing w:val="6"/>
                      <w:kern w:val="0"/>
                      <w:szCs w:val="21"/>
                    </w:rPr>
                    <w:t>－</w:t>
                  </w:r>
                </w:p>
                <w:p w14:paraId="247F3580" w14:textId="77777777" w:rsidR="00F062FE"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未来につながる技術を研き、社会の大きな変化をリードしていく。</w:t>
                  </w:r>
                </w:p>
                <w:p w14:paraId="3F34351C" w14:textId="77777777" w:rsidR="00F062FE" w:rsidRPr="003610E5"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Sustainable</w:t>
                  </w:r>
                  <w:r>
                    <w:rPr>
                      <w:rFonts w:ascii="ＭＳ 明朝" w:hAnsi="ＭＳ 明朝" w:cs="ＭＳ 明朝" w:hint="eastAsia"/>
                      <w:spacing w:val="6"/>
                      <w:kern w:val="0"/>
                      <w:szCs w:val="21"/>
                    </w:rPr>
                    <w:t>－</w:t>
                  </w:r>
                  <w:r w:rsidRPr="003610E5">
                    <w:rPr>
                      <w:rFonts w:ascii="ＭＳ 明朝" w:hAnsi="ＭＳ 明朝" w:cs="ＭＳ 明朝" w:hint="eastAsia"/>
                      <w:spacing w:val="6"/>
                      <w:kern w:val="0"/>
                      <w:szCs w:val="21"/>
                    </w:rPr>
                    <w:t>持続可能な発展を生む社会への貢献</w:t>
                  </w:r>
                  <w:r>
                    <w:rPr>
                      <w:rFonts w:ascii="ＭＳ 明朝" w:hAnsi="ＭＳ 明朝" w:cs="ＭＳ 明朝" w:hint="eastAsia"/>
                      <w:spacing w:val="6"/>
                      <w:kern w:val="0"/>
                      <w:szCs w:val="21"/>
                    </w:rPr>
                    <w:t>－</w:t>
                  </w:r>
                </w:p>
                <w:p w14:paraId="50E64EB2" w14:textId="77777777" w:rsidR="00F062FE" w:rsidRPr="00DD56DC"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地球環境を守りながら、地域で異なる人々の生活の可能性を広げていく。</w:t>
                  </w:r>
                </w:p>
                <w:p w14:paraId="2E65EAD1" w14:textId="77777777" w:rsidR="00F062FE" w:rsidRPr="003610E5"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lastRenderedPageBreak/>
                    <w:t>Profitable</w:t>
                  </w:r>
                  <w:r>
                    <w:rPr>
                      <w:rFonts w:ascii="ＭＳ 明朝" w:hAnsi="ＭＳ 明朝" w:cs="ＭＳ 明朝" w:hint="eastAsia"/>
                      <w:spacing w:val="6"/>
                      <w:kern w:val="0"/>
                      <w:szCs w:val="21"/>
                    </w:rPr>
                    <w:t>－</w:t>
                  </w:r>
                  <w:r w:rsidRPr="003610E5">
                    <w:rPr>
                      <w:rFonts w:ascii="ＭＳ 明朝" w:hAnsi="ＭＳ 明朝" w:cs="ＭＳ 明朝" w:hint="eastAsia"/>
                      <w:spacing w:val="6"/>
                      <w:kern w:val="0"/>
                      <w:szCs w:val="21"/>
                    </w:rPr>
                    <w:t>収益を生む健全な経営</w:t>
                  </w:r>
                  <w:r>
                    <w:rPr>
                      <w:rFonts w:ascii="ＭＳ 明朝" w:hAnsi="ＭＳ 明朝" w:cs="ＭＳ 明朝" w:hint="eastAsia"/>
                      <w:spacing w:val="6"/>
                      <w:kern w:val="0"/>
                      <w:szCs w:val="21"/>
                    </w:rPr>
                    <w:t>－</w:t>
                  </w:r>
                </w:p>
                <w:p w14:paraId="16EE19D6" w14:textId="77777777" w:rsidR="00F062FE"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ステークホルダーと共に価値を最大化し、社会全体の利益を高めていく。</w:t>
                  </w:r>
                  <w:r>
                    <w:rPr>
                      <w:rFonts w:ascii="ＭＳ 明朝" w:hAnsi="ＭＳ 明朝" w:cs="ＭＳ 明朝" w:hint="eastAsia"/>
                      <w:spacing w:val="6"/>
                      <w:kern w:val="0"/>
                      <w:szCs w:val="21"/>
                    </w:rPr>
                    <w:t>（①）</w:t>
                  </w:r>
                </w:p>
                <w:p w14:paraId="4761EC47" w14:textId="77777777" w:rsidR="00F062FE" w:rsidRDefault="00F062FE"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2B228DA" w14:textId="5E178DC4" w:rsidR="00F062FE" w:rsidRDefault="00682F9B"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bookmarkStart w:id="0" w:name="_Hlk193792938"/>
                  <w:r w:rsidRPr="00682F9B">
                    <w:rPr>
                      <w:rFonts w:ascii="ＭＳ 明朝" w:hAnsi="ＭＳ 明朝" w:cs="ＭＳ 明朝" w:hint="eastAsia"/>
                      <w:spacing w:val="6"/>
                      <w:kern w:val="0"/>
                      <w:szCs w:val="21"/>
                    </w:rPr>
                    <w:t>当社は、社会を取り巻く環境やデータ活用、デジタル技術の進展によるビジネス環境の変化を常に洞察する視点を持ち、「エネルギーのあり方そのものをデザインする企業として、新しい未来を始動する」を経営ビジョンとして掲げています。</w:t>
                  </w:r>
                </w:p>
                <w:p w14:paraId="4553E0C1" w14:textId="0D54E042" w:rsidR="00F062FE" w:rsidRPr="00E577BF" w:rsidRDefault="007B6F8D" w:rsidP="00F062F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bookmarkStart w:id="1" w:name="_Hlk193790588"/>
                  <w:bookmarkEnd w:id="0"/>
                  <w:r w:rsidRPr="007B6F8D">
                    <w:rPr>
                      <w:rFonts w:ascii="ＭＳ 明朝" w:hAnsi="ＭＳ 明朝" w:cs="ＭＳ 明朝" w:hint="eastAsia"/>
                      <w:spacing w:val="6"/>
                      <w:kern w:val="0"/>
                      <w:szCs w:val="21"/>
                    </w:rPr>
                    <w:t>豊富な納入実績に裏打ちされたフィジカルの知識・ノウハウ、制御・運用技術を生かしながら、先進のIoTやAIなどのデジタル技術を用いてフィジカル側にある様々な現象を、サイバー側で分析し、活用しやすい情報や知識とし、それをフィジカル側にフィードバックすることで、ソフトウェア・ディファインド化をすすめて付加価値の高いものを提供してまいります。そのためにも、当社ソリューションの高度化に加え、当社自身もデータを活用した経営の最適化を強力に推進しております。</w:t>
                  </w:r>
                  <w:bookmarkEnd w:id="1"/>
                  <w:r w:rsidR="00F062FE">
                    <w:rPr>
                      <w:rFonts w:ascii="ＭＳ 明朝" w:hAnsi="ＭＳ 明朝" w:cs="ＭＳ 明朝" w:hint="eastAsia"/>
                      <w:spacing w:val="6"/>
                      <w:kern w:val="0"/>
                      <w:szCs w:val="21"/>
                    </w:rPr>
                    <w:t>（②）</w:t>
                  </w:r>
                </w:p>
              </w:tc>
            </w:tr>
            <w:tr w:rsidR="00F062FE" w:rsidRPr="00E577BF" w14:paraId="01B21D52" w14:textId="77777777" w:rsidTr="00F5566D">
              <w:trPr>
                <w:trHeight w:val="707"/>
              </w:trPr>
              <w:tc>
                <w:tcPr>
                  <w:tcW w:w="2600" w:type="dxa"/>
                  <w:shd w:val="clear" w:color="auto" w:fill="auto"/>
                </w:tcPr>
                <w:p w14:paraId="26DF9E70" w14:textId="77777777" w:rsidR="00F062FE" w:rsidRPr="00E577BF" w:rsidRDefault="00F062FE" w:rsidP="00F062F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854E615" w14:textId="2CCC9155" w:rsidR="00424063" w:rsidRPr="00892540" w:rsidRDefault="00892540" w:rsidP="00892540">
                  <w:pPr>
                    <w:numPr>
                      <w:ilvl w:val="0"/>
                      <w:numId w:val="12"/>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24063">
                    <w:rPr>
                      <w:rFonts w:ascii="ＭＳ 明朝" w:hAnsi="ＭＳ 明朝" w:cs="ＭＳ 明朝" w:hint="eastAsia"/>
                      <w:spacing w:val="6"/>
                      <w:kern w:val="0"/>
                      <w:szCs w:val="21"/>
                    </w:rPr>
                    <w:t>当社の取締役及び経営陣が出席する</w:t>
                  </w:r>
                  <w:r>
                    <w:rPr>
                      <w:rFonts w:ascii="ＭＳ 明朝" w:hAnsi="ＭＳ 明朝" w:cs="ＭＳ 明朝" w:hint="eastAsia"/>
                      <w:spacing w:val="6"/>
                      <w:kern w:val="0"/>
                      <w:szCs w:val="21"/>
                    </w:rPr>
                    <w:t>会議</w:t>
                  </w:r>
                  <w:r w:rsidRPr="00424063">
                    <w:rPr>
                      <w:rFonts w:ascii="ＭＳ 明朝" w:hAnsi="ＭＳ 明朝" w:cs="ＭＳ 明朝" w:hint="eastAsia"/>
                      <w:spacing w:val="6"/>
                      <w:kern w:val="0"/>
                      <w:szCs w:val="21"/>
                    </w:rPr>
                    <w:t>にて内容合意した上で、</w:t>
                  </w:r>
                  <w:r>
                    <w:rPr>
                      <w:rFonts w:ascii="ＭＳ 明朝" w:hAnsi="ＭＳ 明朝" w:cs="ＭＳ 明朝" w:hint="eastAsia"/>
                      <w:spacing w:val="6"/>
                      <w:kern w:val="0"/>
                      <w:szCs w:val="21"/>
                    </w:rPr>
                    <w:t>社長が</w:t>
                  </w:r>
                  <w:r w:rsidRPr="00424063">
                    <w:rPr>
                      <w:rFonts w:ascii="ＭＳ 明朝" w:hAnsi="ＭＳ 明朝" w:cs="ＭＳ 明朝" w:hint="eastAsia"/>
                      <w:spacing w:val="6"/>
                      <w:kern w:val="0"/>
                      <w:szCs w:val="21"/>
                    </w:rPr>
                    <w:t>意思決定</w:t>
                  </w:r>
                  <w:r>
                    <w:rPr>
                      <w:rFonts w:ascii="ＭＳ 明朝" w:hAnsi="ＭＳ 明朝" w:cs="ＭＳ 明朝" w:hint="eastAsia"/>
                      <w:spacing w:val="6"/>
                      <w:kern w:val="0"/>
                      <w:szCs w:val="21"/>
                    </w:rPr>
                    <w:t>して公表した</w:t>
                  </w:r>
                  <w:r w:rsidRPr="00424063">
                    <w:rPr>
                      <w:rFonts w:ascii="ＭＳ 明朝" w:hAnsi="ＭＳ 明朝" w:cs="ＭＳ 明朝" w:hint="eastAsia"/>
                      <w:spacing w:val="6"/>
                      <w:kern w:val="0"/>
                      <w:szCs w:val="21"/>
                    </w:rPr>
                    <w:t>内容であ</w:t>
                  </w:r>
                  <w:r>
                    <w:rPr>
                      <w:rFonts w:ascii="ＭＳ 明朝" w:hAnsi="ＭＳ 明朝" w:cs="ＭＳ 明朝" w:hint="eastAsia"/>
                      <w:spacing w:val="6"/>
                      <w:kern w:val="0"/>
                      <w:szCs w:val="21"/>
                    </w:rPr>
                    <w:t>る。</w:t>
                  </w:r>
                </w:p>
                <w:p w14:paraId="55B7A7ED" w14:textId="0A9851EB" w:rsidR="00F062FE" w:rsidRPr="00E577BF" w:rsidRDefault="00F062FE" w:rsidP="00424063">
                  <w:pPr>
                    <w:numPr>
                      <w:ilvl w:val="0"/>
                      <w:numId w:val="12"/>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w:t>
                  </w:r>
                  <w:r w:rsidR="00C46A73">
                    <w:rPr>
                      <w:rFonts w:ascii="ＭＳ 明朝" w:hAnsi="ＭＳ 明朝" w:cs="ＭＳ 明朝" w:hint="eastAsia"/>
                      <w:spacing w:val="6"/>
                      <w:kern w:val="0"/>
                      <w:szCs w:val="21"/>
                    </w:rPr>
                    <w:t>にて決議のうえ、</w:t>
                  </w:r>
                  <w:r>
                    <w:rPr>
                      <w:rFonts w:ascii="ＭＳ 明朝" w:hAnsi="ＭＳ 明朝" w:cs="ＭＳ 明朝" w:hint="eastAsia"/>
                      <w:spacing w:val="6"/>
                      <w:kern w:val="0"/>
                      <w:szCs w:val="21"/>
                    </w:rPr>
                    <w:t>公表</w:t>
                  </w:r>
                  <w:r w:rsidR="00382EBD">
                    <w:rPr>
                      <w:rFonts w:ascii="ＭＳ 明朝" w:hAnsi="ＭＳ 明朝" w:cs="ＭＳ 明朝" w:hint="eastAsia"/>
                      <w:spacing w:val="6"/>
                      <w:kern w:val="0"/>
                      <w:szCs w:val="21"/>
                    </w:rPr>
                    <w:t>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489D774D" w14:textId="63A173DB" w:rsidR="00D1302E" w:rsidRPr="001732B2" w:rsidRDefault="001732B2"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デジタルトランスフォーメーションに関する取り組み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75348A7" w14:textId="47169F1B" w:rsidR="00D1302E" w:rsidRPr="00E577BF" w:rsidRDefault="001732B2"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w:t>
                  </w:r>
                  <w:r>
                    <w:rPr>
                      <w:rFonts w:ascii="ＭＳ 明朝" w:hAnsi="ＭＳ 明朝" w:cs="ＭＳ 明朝" w:hint="eastAsia"/>
                      <w:spacing w:val="6"/>
                      <w:kern w:val="0"/>
                      <w:szCs w:val="21"/>
                    </w:rPr>
                    <w:t>5</w:t>
                  </w:r>
                  <w:r w:rsidRPr="00DD56DC">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sidRPr="00DD56DC">
                    <w:rPr>
                      <w:rFonts w:ascii="ＭＳ 明朝" w:hAnsi="ＭＳ 明朝" w:cs="ＭＳ 明朝" w:hint="eastAsia"/>
                      <w:spacing w:val="6"/>
                      <w:kern w:val="0"/>
                      <w:szCs w:val="21"/>
                    </w:rPr>
                    <w:t>月</w:t>
                  </w:r>
                  <w:r w:rsidR="00314A02">
                    <w:rPr>
                      <w:rFonts w:ascii="ＭＳ 明朝" w:hAnsi="ＭＳ 明朝" w:cs="ＭＳ 明朝" w:hint="eastAsia"/>
                      <w:spacing w:val="6"/>
                      <w:kern w:val="0"/>
                      <w:szCs w:val="21"/>
                    </w:rPr>
                    <w:t>24</w:t>
                  </w:r>
                  <w:r w:rsidRPr="00DD56DC">
                    <w:rPr>
                      <w:rFonts w:ascii="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1FE4DE1F" w14:textId="26851CF8" w:rsidR="00D1302E" w:rsidRPr="00E577BF" w:rsidRDefault="001732B2"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【公表方法】当社</w:t>
                  </w:r>
                  <w:r w:rsidRPr="00107D45">
                    <w:rPr>
                      <w:rFonts w:ascii="ＭＳ 明朝" w:hAnsi="ＭＳ 明朝" w:cs="ＭＳ 明朝" w:hint="eastAsia"/>
                      <w:spacing w:val="6"/>
                      <w:kern w:val="0"/>
                      <w:szCs w:val="21"/>
                    </w:rPr>
                    <w:t>ホームページ</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企業情報</w:t>
                  </w:r>
                  <w:r w:rsidRPr="001A19C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「デジタルトランスフォーメーションに関する取り組み」に記載</w:t>
                  </w:r>
                  <w:r>
                    <w:rPr>
                      <w:rFonts w:ascii="ＭＳ 明朝" w:hAnsi="ＭＳ 明朝" w:cs="ＭＳ 明朝"/>
                      <w:spacing w:val="6"/>
                      <w:kern w:val="0"/>
                      <w:szCs w:val="21"/>
                    </w:rPr>
                    <w:br/>
                  </w:r>
                  <w:r w:rsidRPr="00107D45">
                    <w:rPr>
                      <w:rFonts w:ascii="ＭＳ 明朝" w:hAnsi="ＭＳ 明朝" w:cs="ＭＳ 明朝" w:hint="eastAsia"/>
                      <w:spacing w:val="6"/>
                      <w:kern w:val="0"/>
                      <w:szCs w:val="21"/>
                    </w:rPr>
                    <w:t>【公表場所】</w:t>
                  </w:r>
                  <w:r>
                    <w:rPr>
                      <w:rFonts w:ascii="ＭＳ 明朝" w:hAnsi="ＭＳ 明朝" w:cs="ＭＳ 明朝"/>
                      <w:spacing w:val="6"/>
                      <w:kern w:val="0"/>
                      <w:szCs w:val="21"/>
                    </w:rPr>
                    <w:br/>
                  </w:r>
                  <w:hyperlink r:id="rId10" w:history="1">
                    <w:r w:rsidRPr="00CC7820">
                      <w:rPr>
                        <w:rStyle w:val="af6"/>
                        <w:rFonts w:ascii="ＭＳ 明朝" w:hAnsi="ＭＳ 明朝" w:cs="ＭＳ 明朝"/>
                        <w:spacing w:val="6"/>
                        <w:kern w:val="0"/>
                        <w:szCs w:val="21"/>
                      </w:rPr>
                      <w:t>https://www.global.toshiba/jp/company/energy/dx-strategy.html</w:t>
                    </w:r>
                  </w:hyperlink>
                  <w:r>
                    <w:rPr>
                      <w:rFonts w:ascii="ＭＳ 明朝" w:hAnsi="ＭＳ 明朝" w:cs="ＭＳ 明朝"/>
                      <w:spacing w:val="6"/>
                      <w:kern w:val="0"/>
                      <w:szCs w:val="21"/>
                    </w:rPr>
                    <w:br/>
                  </w:r>
                  <w:r>
                    <w:rPr>
                      <w:rFonts w:ascii="ＭＳ 明朝" w:hAnsi="ＭＳ 明朝" w:cs="ＭＳ 明朝" w:hint="eastAsia"/>
                      <w:spacing w:val="6"/>
                      <w:kern w:val="0"/>
                      <w:szCs w:val="21"/>
                    </w:rPr>
                    <w:t>【記載箇所】</w:t>
                  </w:r>
                  <w:r w:rsidRPr="009E77DF">
                    <w:rPr>
                      <w:rFonts w:ascii="ＭＳ 明朝" w:hAnsi="ＭＳ 明朝" w:cs="ＭＳ 明朝" w:hint="eastAsia"/>
                      <w:spacing w:val="6"/>
                      <w:kern w:val="0"/>
                      <w:szCs w:val="21"/>
                    </w:rPr>
                    <w:t>顧客向けDXの取り組み</w:t>
                  </w:r>
                  <w:r>
                    <w:rPr>
                      <w:rFonts w:ascii="ＭＳ 明朝" w:hAnsi="ＭＳ 明朝" w:cs="ＭＳ 明朝" w:hint="eastAsia"/>
                      <w:spacing w:val="6"/>
                      <w:kern w:val="0"/>
                      <w:szCs w:val="21"/>
                    </w:rPr>
                    <w:t>／社内</w:t>
                  </w:r>
                  <w:r w:rsidRPr="009E77DF">
                    <w:rPr>
                      <w:rFonts w:ascii="ＭＳ 明朝" w:hAnsi="ＭＳ 明朝" w:cs="ＭＳ 明朝" w:hint="eastAsia"/>
                      <w:spacing w:val="6"/>
                      <w:kern w:val="0"/>
                      <w:szCs w:val="21"/>
                    </w:rPr>
                    <w:t>向けDXの取り組み</w:t>
                  </w:r>
                </w:p>
              </w:tc>
            </w:tr>
            <w:tr w:rsidR="001732B2" w:rsidRPr="00E577BF" w14:paraId="640E83AB" w14:textId="77777777" w:rsidTr="00F5566D">
              <w:trPr>
                <w:trHeight w:val="353"/>
              </w:trPr>
              <w:tc>
                <w:tcPr>
                  <w:tcW w:w="2600" w:type="dxa"/>
                  <w:shd w:val="clear" w:color="auto" w:fill="auto"/>
                </w:tcPr>
                <w:p w14:paraId="2A82AECA" w14:textId="77777777" w:rsidR="001732B2" w:rsidRPr="00E577BF" w:rsidRDefault="001732B2" w:rsidP="001732B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0448436B" w14:textId="77777777" w:rsidR="001732B2" w:rsidRPr="003610E5" w:rsidRDefault="001732B2"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■顧客向け</w:t>
                  </w:r>
                  <w:r w:rsidRPr="009E77DF">
                    <w:rPr>
                      <w:rFonts w:ascii="ＭＳ 明朝" w:hAnsi="ＭＳ 明朝" w:cs="ＭＳ 明朝" w:hint="eastAsia"/>
                      <w:spacing w:val="6"/>
                      <w:kern w:val="0"/>
                      <w:szCs w:val="21"/>
                    </w:rPr>
                    <w:t>DXの取り組み</w:t>
                  </w:r>
                </w:p>
                <w:p w14:paraId="634F19A4" w14:textId="1D21F15C" w:rsidR="001732B2" w:rsidRDefault="00964CB9" w:rsidP="001732B2">
                  <w:pPr>
                    <w:numPr>
                      <w:ilvl w:val="0"/>
                      <w:numId w:val="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64CB9">
                    <w:rPr>
                      <w:rFonts w:ascii="ＭＳ 明朝" w:hAnsi="ＭＳ 明朝" w:cs="ＭＳ 明朝" w:hint="eastAsia"/>
                      <w:spacing w:val="6"/>
                      <w:kern w:val="0"/>
                      <w:szCs w:val="21"/>
                    </w:rPr>
                    <w:t>電力事業者様向けソリューションの高度化</w:t>
                  </w:r>
                  <w:r>
                    <w:rPr>
                      <w:rFonts w:ascii="ＭＳ 明朝" w:hAnsi="ＭＳ 明朝" w:cs="ＭＳ 明朝"/>
                      <w:spacing w:val="6"/>
                      <w:kern w:val="0"/>
                      <w:szCs w:val="21"/>
                    </w:rPr>
                    <w:br/>
                  </w:r>
                  <w:r w:rsidR="001732B2" w:rsidRPr="001732B2">
                    <w:rPr>
                      <w:rFonts w:ascii="ＭＳ 明朝" w:hAnsi="ＭＳ 明朝" w:cs="ＭＳ 明朝" w:hint="eastAsia"/>
                      <w:spacing w:val="6"/>
                      <w:kern w:val="0"/>
                      <w:szCs w:val="21"/>
                    </w:rPr>
                    <w:t>デジタル技術、そこから得られるデータを活用し、発電所や変電所などの運用・保守、バリューチェーンの最適化を通じて既存のインフラ事業の高度化を実現。経営における課題を解決します。例えば、太陽光発電所から発電量・障害発生状況、出力制御状況などのデータを収集することにより複数の太陽光発電所</w:t>
                  </w:r>
                  <w:r w:rsidR="000E7693">
                    <w:rPr>
                      <w:rFonts w:ascii="ＭＳ 明朝" w:hAnsi="ＭＳ 明朝" w:cs="ＭＳ 明朝" w:hint="eastAsia"/>
                      <w:spacing w:val="6"/>
                      <w:kern w:val="0"/>
                      <w:szCs w:val="21"/>
                    </w:rPr>
                    <w:t>を</w:t>
                  </w:r>
                  <w:r w:rsidR="001732B2" w:rsidRPr="001732B2">
                    <w:rPr>
                      <w:rFonts w:ascii="ＭＳ 明朝" w:hAnsi="ＭＳ 明朝" w:cs="ＭＳ 明朝" w:hint="eastAsia"/>
                      <w:spacing w:val="6"/>
                      <w:kern w:val="0"/>
                      <w:szCs w:val="21"/>
                    </w:rPr>
                    <w:t>一元管理し、発電事業者の運用保守業務を効率化でき、発電性能機能で発電損失の最小化を可能とします。</w:t>
                  </w:r>
                  <w:r w:rsidR="001732B2">
                    <w:rPr>
                      <w:rFonts w:ascii="ＭＳ 明朝" w:hAnsi="ＭＳ 明朝" w:cs="ＭＳ 明朝"/>
                      <w:spacing w:val="6"/>
                      <w:kern w:val="0"/>
                      <w:szCs w:val="21"/>
                    </w:rPr>
                    <w:br/>
                  </w:r>
                </w:p>
                <w:p w14:paraId="6C978423" w14:textId="77777777" w:rsidR="001732B2" w:rsidRDefault="001732B2" w:rsidP="001732B2">
                  <w:pPr>
                    <w:numPr>
                      <w:ilvl w:val="0"/>
                      <w:numId w:val="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3CA0">
                    <w:rPr>
                      <w:rFonts w:ascii="ＭＳ 明朝" w:hAnsi="ＭＳ 明朝" w:cs="ＭＳ 明朝" w:hint="eastAsia"/>
                      <w:spacing w:val="6"/>
                      <w:kern w:val="0"/>
                      <w:szCs w:val="21"/>
                    </w:rPr>
                    <w:t>電力需要家様等へのデジタルサービスの展開</w:t>
                  </w:r>
                  <w:r>
                    <w:rPr>
                      <w:rFonts w:ascii="ＭＳ 明朝" w:hAnsi="ＭＳ 明朝" w:cs="ＭＳ 明朝"/>
                      <w:spacing w:val="6"/>
                      <w:kern w:val="0"/>
                      <w:szCs w:val="21"/>
                    </w:rPr>
                    <w:br/>
                  </w:r>
                  <w:r w:rsidRPr="00E53CA0">
                    <w:rPr>
                      <w:rFonts w:ascii="ＭＳ 明朝" w:hAnsi="ＭＳ 明朝" w:cs="ＭＳ 明朝" w:hint="eastAsia"/>
                      <w:spacing w:val="6"/>
                      <w:kern w:val="0"/>
                      <w:szCs w:val="21"/>
                    </w:rPr>
                    <w:t>上記1のソリューションを他の産業領域など展開することで、より広い領域への価値を提供します。</w:t>
                  </w:r>
                  <w:r>
                    <w:rPr>
                      <w:rFonts w:ascii="ＭＳ 明朝" w:hAnsi="ＭＳ 明朝" w:cs="ＭＳ 明朝"/>
                      <w:spacing w:val="6"/>
                      <w:kern w:val="0"/>
                      <w:szCs w:val="21"/>
                    </w:rPr>
                    <w:br/>
                  </w:r>
                </w:p>
                <w:p w14:paraId="0BB53192" w14:textId="77777777" w:rsidR="001732B2" w:rsidRPr="00E53CA0" w:rsidRDefault="001732B2" w:rsidP="001732B2">
                  <w:pPr>
                    <w:numPr>
                      <w:ilvl w:val="0"/>
                      <w:numId w:val="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3CA0">
                    <w:rPr>
                      <w:rFonts w:ascii="ＭＳ 明朝" w:hAnsi="ＭＳ 明朝" w:cs="ＭＳ 明朝" w:hint="eastAsia"/>
                      <w:spacing w:val="6"/>
                      <w:kern w:val="0"/>
                      <w:szCs w:val="21"/>
                    </w:rPr>
                    <w:t>ステークホルダーとの共創による新規事業の開拓</w:t>
                  </w:r>
                  <w:r>
                    <w:rPr>
                      <w:rFonts w:ascii="ＭＳ 明朝" w:hAnsi="ＭＳ 明朝" w:cs="ＭＳ 明朝"/>
                      <w:spacing w:val="6"/>
                      <w:kern w:val="0"/>
                      <w:szCs w:val="21"/>
                    </w:rPr>
                    <w:br/>
                  </w:r>
                  <w:r w:rsidRPr="00E53CA0">
                    <w:rPr>
                      <w:rFonts w:ascii="ＭＳ 明朝" w:hAnsi="ＭＳ 明朝" w:cs="ＭＳ 明朝" w:hint="eastAsia"/>
                      <w:spacing w:val="6"/>
                      <w:kern w:val="0"/>
                      <w:szCs w:val="21"/>
                    </w:rPr>
                    <w:t>電力事業者様や電力需要家様等に加えベンチャー・スタートアップ企業と連携し、これらの企業のデジ</w:t>
                  </w:r>
                  <w:r w:rsidRPr="00E53CA0">
                    <w:rPr>
                      <w:rFonts w:ascii="ＭＳ 明朝" w:hAnsi="ＭＳ 明朝" w:cs="ＭＳ 明朝" w:hint="eastAsia"/>
                      <w:spacing w:val="6"/>
                      <w:kern w:val="0"/>
                      <w:szCs w:val="21"/>
                    </w:rPr>
                    <w:lastRenderedPageBreak/>
                    <w:t>タル技術やデータを活用することで新しい価値を共創します。</w:t>
                  </w:r>
                </w:p>
                <w:p w14:paraId="413B7572" w14:textId="77777777" w:rsidR="001732B2" w:rsidRPr="003610E5" w:rsidRDefault="001732B2"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5743A" w14:textId="77777777" w:rsidR="001732B2" w:rsidRPr="003610E5" w:rsidRDefault="001732B2"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10E5">
                    <w:rPr>
                      <w:rFonts w:ascii="ＭＳ 明朝" w:hAnsi="ＭＳ 明朝" w:cs="ＭＳ 明朝" w:hint="eastAsia"/>
                      <w:spacing w:val="6"/>
                      <w:kern w:val="0"/>
                      <w:szCs w:val="21"/>
                    </w:rPr>
                    <w:t>■社内向け</w:t>
                  </w:r>
                  <w:r w:rsidRPr="009E77DF">
                    <w:rPr>
                      <w:rFonts w:ascii="ＭＳ 明朝" w:hAnsi="ＭＳ 明朝" w:cs="ＭＳ 明朝" w:hint="eastAsia"/>
                      <w:spacing w:val="6"/>
                      <w:kern w:val="0"/>
                      <w:szCs w:val="21"/>
                    </w:rPr>
                    <w:t>DXの取り組み</w:t>
                  </w:r>
                </w:p>
                <w:p w14:paraId="0848987C" w14:textId="4F18986E" w:rsidR="001732B2" w:rsidRPr="00E577BF" w:rsidRDefault="001732B2"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D7138">
                    <w:rPr>
                      <w:rFonts w:ascii="ＭＳ 明朝" w:hAnsi="ＭＳ 明朝" w:cs="ＭＳ 明朝" w:hint="eastAsia"/>
                      <w:spacing w:val="6"/>
                      <w:kern w:val="0"/>
                      <w:szCs w:val="21"/>
                    </w:rPr>
                    <w:t>業務プロセスを変革し、ビジネスモデルの整備とあわせ、バリューチェーンにおけるデジタル変革を実現します。経営情報を一元管理することで、企業内の様々なデータ（ヒト、モノ、カネ）や、各拠点・支社からのデータも統合され、データの可視化・活用による業務効率化を図れると同時に、より迅速で高度な分析に基づく経営判断が可能となります。</w:t>
                  </w:r>
                </w:p>
              </w:tc>
            </w:tr>
            <w:tr w:rsidR="001732B2" w:rsidRPr="00E577BF" w14:paraId="20047B99" w14:textId="77777777" w:rsidTr="00F5566D">
              <w:trPr>
                <w:trHeight w:val="697"/>
              </w:trPr>
              <w:tc>
                <w:tcPr>
                  <w:tcW w:w="2600" w:type="dxa"/>
                  <w:shd w:val="clear" w:color="auto" w:fill="auto"/>
                </w:tcPr>
                <w:p w14:paraId="1BDE20EC" w14:textId="77777777" w:rsidR="001732B2" w:rsidRPr="00E577BF" w:rsidRDefault="001732B2" w:rsidP="001732B2">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7BDFF7CD" w:rsidR="001732B2" w:rsidRPr="00E577BF" w:rsidRDefault="00C46A73"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取締役会にて決議のうえ、公表している。</w:t>
                  </w:r>
                </w:p>
                <w:p w14:paraId="5FD596BB" w14:textId="77777777" w:rsidR="001732B2" w:rsidRPr="00E577BF" w:rsidRDefault="001732B2" w:rsidP="001732B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47D9F1D0" w14:textId="4B412D45" w:rsidR="00D1302E" w:rsidRPr="00E577BF" w:rsidRDefault="001732B2"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732B2">
                    <w:rPr>
                      <w:rFonts w:ascii="ＭＳ 明朝" w:hAnsi="ＭＳ 明朝" w:cs="ＭＳ 明朝" w:hint="eastAsia"/>
                      <w:spacing w:val="6"/>
                      <w:kern w:val="0"/>
                      <w:szCs w:val="21"/>
                    </w:rPr>
                    <w:t>【記載箇所】顧客向けDXの取り組み／社内向けDXの取り組み／DX人材の育成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32223152" w14:textId="77777777" w:rsidR="00A32644" w:rsidRPr="00473E5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w:t>
                  </w:r>
                  <w:r w:rsidRPr="003610E5">
                    <w:rPr>
                      <w:rFonts w:ascii="ＭＳ 明朝" w:hAnsi="ＭＳ 明朝" w:cs="ＭＳ 明朝" w:hint="eastAsia"/>
                      <w:spacing w:val="6"/>
                      <w:kern w:val="0"/>
                      <w:szCs w:val="21"/>
                    </w:rPr>
                    <w:t>顧客向け</w:t>
                  </w:r>
                  <w:r w:rsidRPr="009E77DF">
                    <w:rPr>
                      <w:rFonts w:ascii="ＭＳ 明朝" w:hAnsi="ＭＳ 明朝" w:cs="ＭＳ 明朝" w:hint="eastAsia"/>
                      <w:spacing w:val="6"/>
                      <w:kern w:val="0"/>
                      <w:szCs w:val="21"/>
                    </w:rPr>
                    <w:t>DXの取り組み</w:t>
                  </w:r>
                </w:p>
                <w:p w14:paraId="64CAEAB5" w14:textId="77777777" w:rsidR="00A32644" w:rsidRPr="00473E5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デジタル関連ビジネスをより加速させるため、社長直轄組織の「</w:t>
                  </w:r>
                  <w:r>
                    <w:rPr>
                      <w:rFonts w:ascii="ＭＳ 明朝" w:hAnsi="ＭＳ 明朝" w:cs="ＭＳ 明朝"/>
                      <w:spacing w:val="6"/>
                      <w:kern w:val="0"/>
                      <w:szCs w:val="21"/>
                    </w:rPr>
                    <w:t>DX</w:t>
                  </w:r>
                  <w:r w:rsidRPr="00473E52">
                    <w:rPr>
                      <w:rFonts w:ascii="ＭＳ 明朝" w:hAnsi="ＭＳ 明朝" w:cs="ＭＳ 明朝" w:hint="eastAsia"/>
                      <w:spacing w:val="6"/>
                      <w:kern w:val="0"/>
                      <w:szCs w:val="21"/>
                    </w:rPr>
                    <w:t>統括部」を立ち上げ、全社から人材を結集し、事業部の垣根を超えて活動しています。</w:t>
                  </w:r>
                </w:p>
                <w:p w14:paraId="579B0C60" w14:textId="77777777" w:rsidR="00A32644" w:rsidRPr="00473E5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36AAEB" w14:textId="77777777" w:rsidR="00A32644" w:rsidRPr="002E75C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w:t>
                  </w:r>
                  <w:r w:rsidRPr="003610E5">
                    <w:rPr>
                      <w:rFonts w:ascii="ＭＳ 明朝" w:hAnsi="ＭＳ 明朝" w:cs="ＭＳ 明朝" w:hint="eastAsia"/>
                      <w:spacing w:val="6"/>
                      <w:kern w:val="0"/>
                      <w:szCs w:val="21"/>
                    </w:rPr>
                    <w:t>社内向け</w:t>
                  </w:r>
                  <w:r w:rsidRPr="009E77DF">
                    <w:rPr>
                      <w:rFonts w:ascii="ＭＳ 明朝" w:hAnsi="ＭＳ 明朝" w:cs="ＭＳ 明朝" w:hint="eastAsia"/>
                      <w:spacing w:val="6"/>
                      <w:kern w:val="0"/>
                      <w:szCs w:val="21"/>
                    </w:rPr>
                    <w:t>DXの取り組み</w:t>
                  </w:r>
                </w:p>
                <w:p w14:paraId="2903530D" w14:textId="77777777" w:rsidR="00D1302E" w:rsidRDefault="00A3264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当社代表取締役社長をリーダーとする社内推進体制として、ERP/CRMの導入を推進する役割を担う「次期基幹システム導入プロジェクト」、PLMの導入を推進する役割を担う「設計デジタル化プロジェクト」、MESの導入を推進する役割を担う「製造デジタル化プロジェクト」の３プロジェクトを編成しており、ITシステムの刷新と業務プロセスの変革を実現します。</w:t>
                  </w:r>
                </w:p>
                <w:p w14:paraId="33C24E9C" w14:textId="77777777" w:rsidR="003B1361" w:rsidRDefault="003B136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04E8D84" w14:textId="77777777" w:rsidR="003B1361" w:rsidRPr="00473E52" w:rsidRDefault="003B1361" w:rsidP="003B13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■DX人材の育成</w:t>
                  </w:r>
                </w:p>
                <w:p w14:paraId="2097C870" w14:textId="2560B013" w:rsidR="003B1361" w:rsidRPr="002E75C2" w:rsidRDefault="003B1361" w:rsidP="003B13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B1361">
                    <w:rPr>
                      <w:rFonts w:ascii="ＭＳ 明朝" w:hAnsi="ＭＳ 明朝" w:cs="ＭＳ 明朝" w:hint="eastAsia"/>
                      <w:spacing w:val="6"/>
                      <w:kern w:val="0"/>
                      <w:szCs w:val="21"/>
                    </w:rPr>
                    <w:t>当社ではDX人材を育成するために、デジタルスキルの基本となるITリテラシーの強化に加え、DX推進のために重要な役割を果たすAI教育やサイバーセキュリティ教育等を推進しています</w:t>
                  </w:r>
                  <w:r w:rsidRPr="002E75C2">
                    <w:rPr>
                      <w:rFonts w:ascii="ＭＳ 明朝" w:hAnsi="ＭＳ 明朝" w:cs="ＭＳ 明朝" w:hint="eastAsia"/>
                      <w:spacing w:val="6"/>
                      <w:kern w:val="0"/>
                      <w:szCs w:val="21"/>
                    </w:rPr>
                    <w:t>。</w:t>
                  </w:r>
                </w:p>
                <w:p w14:paraId="7504FAFB" w14:textId="3F53CEE9" w:rsidR="003B1361" w:rsidRPr="003B1361" w:rsidRDefault="003B1361" w:rsidP="003B1361">
                  <w:pPr>
                    <w:numPr>
                      <w:ilvl w:val="0"/>
                      <w:numId w:val="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B1361">
                    <w:rPr>
                      <w:rFonts w:ascii="ＭＳ 明朝" w:hAnsi="ＭＳ 明朝" w:cs="ＭＳ 明朝" w:hint="eastAsia"/>
                      <w:spacing w:val="6"/>
                      <w:kern w:val="0"/>
                      <w:szCs w:val="21"/>
                    </w:rPr>
                    <w:t>ITリテラシーの強化に関しては、全社員を対象としたIoTの基礎教育や、新入社員を対象とした技術者CDP（Career Development Program）を推進し、ITリテラシーの底上げとDXマインドの醸成を図っています。</w:t>
                  </w:r>
                </w:p>
                <w:p w14:paraId="5B1D6E30" w14:textId="77777777" w:rsidR="003B1361" w:rsidRPr="003B1361" w:rsidRDefault="003B1361" w:rsidP="003B1361">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3B1361">
                    <w:rPr>
                      <w:rFonts w:ascii="ＭＳ 明朝" w:hAnsi="ＭＳ 明朝" w:cs="ＭＳ 明朝" w:hint="eastAsia"/>
                      <w:spacing w:val="6"/>
                      <w:kern w:val="0"/>
                      <w:szCs w:val="21"/>
                    </w:rPr>
                    <w:t>IoTの基礎教育では、IoTの基本及び事例を通じて、IoTに関する基礎知識とビジネスで活用するためのDX及びIoTソリューションの基礎スキルを育成します。また新入社員を対象とした技術者CDPを通じて、入社３年までに必要となる技術力の育成を体系的に支援しています。</w:t>
                  </w:r>
                </w:p>
                <w:p w14:paraId="297BD8DE" w14:textId="62707FFA" w:rsidR="003B1361" w:rsidRDefault="003B1361" w:rsidP="003B1361">
                  <w:pPr>
                    <w:numPr>
                      <w:ilvl w:val="0"/>
                      <w:numId w:val="9"/>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B1361">
                    <w:rPr>
                      <w:rFonts w:ascii="ＭＳ 明朝" w:hAnsi="ＭＳ 明朝" w:cs="ＭＳ 明朝" w:hint="eastAsia"/>
                      <w:spacing w:val="6"/>
                      <w:kern w:val="0"/>
                      <w:szCs w:val="21"/>
                    </w:rPr>
                    <w:t>DX人材の育成に関しては東芝グループのDX人材定義に則ってDX人材を定義し、各ロールに求められるスキルの取得を推進しています。東芝グループ内外のDX人材・スキル教育や、AI教育、サイバーセキュリティ教育等を活用し、特にDX関連業務に携わる技術</w:t>
                  </w:r>
                  <w:r w:rsidRPr="003B1361">
                    <w:rPr>
                      <w:rFonts w:ascii="ＭＳ 明朝" w:hAnsi="ＭＳ 明朝" w:cs="ＭＳ 明朝" w:hint="eastAsia"/>
                      <w:spacing w:val="6"/>
                      <w:kern w:val="0"/>
                      <w:szCs w:val="21"/>
                    </w:rPr>
                    <w:lastRenderedPageBreak/>
                    <w:t>者の高度なスキル向上を図っています。</w:t>
                  </w:r>
                </w:p>
                <w:p w14:paraId="35FC49EF" w14:textId="77777777" w:rsidR="003B1361" w:rsidRPr="003B1361" w:rsidRDefault="003B1361" w:rsidP="003B1361">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p>
                <w:p w14:paraId="3B33C2B0" w14:textId="77777777" w:rsidR="003B1361" w:rsidRDefault="003B1361" w:rsidP="003B1361">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3B1361">
                    <w:rPr>
                      <w:rFonts w:ascii="ＭＳ 明朝" w:hAnsi="ＭＳ 明朝" w:cs="ＭＳ 明朝" w:hint="eastAsia"/>
                      <w:spacing w:val="6"/>
                      <w:kern w:val="0"/>
                      <w:szCs w:val="21"/>
                    </w:rPr>
                    <w:t>AI教育では、AIを活用した提案力を中心としたAIコンサルタント、技術開発力を中心としたAIエンジニアの育成を目指しています。サイバーセキュリティ教育では、セキュリティマネジメントからセキュア開発、セキュリティ運用まで製品ライフサイクルに渡る一貫した技術力を身につけることを推進しています。</w:t>
                  </w:r>
                </w:p>
                <w:p w14:paraId="310CB9CA" w14:textId="2C9A3136" w:rsidR="003B1361" w:rsidRPr="00E577BF" w:rsidRDefault="00363EBC" w:rsidP="003B13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63EBC">
                    <w:rPr>
                      <w:rFonts w:ascii="ＭＳ 明朝" w:hAnsi="ＭＳ 明朝" w:cs="ＭＳ 明朝" w:hint="eastAsia"/>
                      <w:spacing w:val="6"/>
                      <w:kern w:val="0"/>
                      <w:szCs w:val="21"/>
                    </w:rPr>
                    <w:t>東芝グループの幅広い教育コースを活用し、デジタル技術を通じてエネルギーの未来を担う人材の成長と活躍を支援していきます。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603C1BDA" w14:textId="4D333639" w:rsidR="00D1302E" w:rsidRPr="00E577BF" w:rsidRDefault="00A3264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sidRPr="009E77DF">
                    <w:rPr>
                      <w:rFonts w:ascii="ＭＳ 明朝" w:hAnsi="ＭＳ 明朝" w:cs="ＭＳ 明朝" w:hint="eastAsia"/>
                      <w:spacing w:val="6"/>
                      <w:kern w:val="0"/>
                      <w:szCs w:val="21"/>
                    </w:rPr>
                    <w:t>顧客向けDXの取り組み</w:t>
                  </w:r>
                  <w:r>
                    <w:rPr>
                      <w:rFonts w:ascii="ＭＳ 明朝" w:hAnsi="ＭＳ 明朝" w:cs="ＭＳ 明朝" w:hint="eastAsia"/>
                      <w:spacing w:val="6"/>
                      <w:kern w:val="0"/>
                      <w:szCs w:val="21"/>
                    </w:rPr>
                    <w:t>／社内</w:t>
                  </w:r>
                  <w:r w:rsidRPr="009E77DF">
                    <w:rPr>
                      <w:rFonts w:ascii="ＭＳ 明朝" w:hAnsi="ＭＳ 明朝" w:cs="ＭＳ 明朝" w:hint="eastAsia"/>
                      <w:spacing w:val="6"/>
                      <w:kern w:val="0"/>
                      <w:szCs w:val="21"/>
                    </w:rPr>
                    <w:t>向けDXの取り組み</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0C716842" w14:textId="77777777" w:rsidR="00A32644" w:rsidRPr="00473E5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w:t>
                  </w:r>
                  <w:r w:rsidRPr="009E77DF">
                    <w:rPr>
                      <w:rFonts w:ascii="ＭＳ 明朝" w:hAnsi="ＭＳ 明朝" w:cs="ＭＳ 明朝" w:hint="eastAsia"/>
                      <w:spacing w:val="6"/>
                      <w:kern w:val="0"/>
                      <w:szCs w:val="21"/>
                    </w:rPr>
                    <w:t>顧客向けDXの取り組み</w:t>
                  </w:r>
                </w:p>
                <w:p w14:paraId="64982AEA" w14:textId="0E31B21A" w:rsidR="00A32644" w:rsidRDefault="00FF4800"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F4800">
                    <w:rPr>
                      <w:rFonts w:ascii="ＭＳ 明朝" w:hAnsi="ＭＳ 明朝" w:cs="ＭＳ 明朝" w:hint="eastAsia"/>
                      <w:spacing w:val="6"/>
                      <w:kern w:val="0"/>
                      <w:szCs w:val="21"/>
                    </w:rPr>
                    <w:t>戦略を推進するためのプラットフォームとして東芝IoTリファレンスアーキテクチャーを整備し、エネルギーIoTに関連したさまざまなソフトウェアやサービスを開発、再利用、共有することが可能となります(TOSHIBA SPINEX for Energy)。またエネルギー領域におけるサービスとして、膨大なデータをクラウド上で収集・可視化できる発電／変電所向けダッシュボード、図面連携によるデータ管理システム、性能監視による性能評価・異常検知などを整備しています。</w:t>
                  </w:r>
                </w:p>
                <w:p w14:paraId="0CB72C92" w14:textId="77777777" w:rsidR="00FF4800" w:rsidRPr="00473E52" w:rsidRDefault="00FF4800"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CB3310B" w14:textId="77777777" w:rsidR="00A32644" w:rsidRPr="00473E52" w:rsidRDefault="00A32644" w:rsidP="00A326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w:t>
                  </w:r>
                  <w:r>
                    <w:rPr>
                      <w:rFonts w:ascii="ＭＳ 明朝" w:hAnsi="ＭＳ 明朝" w:cs="ＭＳ 明朝" w:hint="eastAsia"/>
                      <w:spacing w:val="6"/>
                      <w:kern w:val="0"/>
                      <w:szCs w:val="21"/>
                    </w:rPr>
                    <w:t>社内</w:t>
                  </w:r>
                  <w:r w:rsidRPr="009E77DF">
                    <w:rPr>
                      <w:rFonts w:ascii="ＭＳ 明朝" w:hAnsi="ＭＳ 明朝" w:cs="ＭＳ 明朝" w:hint="eastAsia"/>
                      <w:spacing w:val="6"/>
                      <w:kern w:val="0"/>
                      <w:szCs w:val="21"/>
                    </w:rPr>
                    <w:t>向けDXの取り組み</w:t>
                  </w:r>
                </w:p>
                <w:p w14:paraId="416D4B43" w14:textId="77777777" w:rsidR="00A32644" w:rsidRPr="002E75C2" w:rsidRDefault="00A32644" w:rsidP="00A32644">
                  <w:pPr>
                    <w:numPr>
                      <w:ilvl w:val="0"/>
                      <w:numId w:val="10"/>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ERP(Enterprise Resource Planning) : 経営資源管理</w:t>
                  </w:r>
                </w:p>
                <w:p w14:paraId="18ED2222" w14:textId="77777777" w:rsidR="00A32644" w:rsidRPr="002E75C2" w:rsidRDefault="00A32644" w:rsidP="00A32644">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コスト管理/経営指標管理/手配管理など、基幹業務/管理プロセスの統一化を実現します。</w:t>
                  </w:r>
                </w:p>
                <w:p w14:paraId="5C432F31" w14:textId="77777777" w:rsidR="00A32644" w:rsidRPr="002E75C2" w:rsidRDefault="00A32644" w:rsidP="00A32644">
                  <w:pPr>
                    <w:numPr>
                      <w:ilvl w:val="0"/>
                      <w:numId w:val="11"/>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CRM(Customer Relationship Management) : 顧客関係管理</w:t>
                  </w:r>
                </w:p>
                <w:p w14:paraId="18765786" w14:textId="77777777" w:rsidR="00A32644" w:rsidRPr="002E75C2" w:rsidRDefault="00A32644" w:rsidP="00A32644">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顧客接点管理など、顧客情報の一元化を実現します。</w:t>
                  </w:r>
                </w:p>
                <w:p w14:paraId="0F0878AA" w14:textId="77777777" w:rsidR="00A32644" w:rsidRPr="002E75C2" w:rsidRDefault="00A32644" w:rsidP="00A32644">
                  <w:pPr>
                    <w:numPr>
                      <w:ilvl w:val="0"/>
                      <w:numId w:val="11"/>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PLM(Product Lifecycle Management) : 製品ライフサイクル管理</w:t>
                  </w:r>
                </w:p>
                <w:p w14:paraId="5309C216" w14:textId="77777777" w:rsidR="00A32644" w:rsidRPr="002E75C2" w:rsidRDefault="00A32644" w:rsidP="00A32644">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品目管理/BOM管理/開発工程管理など、設計思想/設計プロセスの共通化を実現します。</w:t>
                  </w:r>
                </w:p>
                <w:p w14:paraId="785B645A" w14:textId="77777777" w:rsidR="00A32644" w:rsidRDefault="00A32644" w:rsidP="00A32644">
                  <w:pPr>
                    <w:numPr>
                      <w:ilvl w:val="0"/>
                      <w:numId w:val="11"/>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E75C2">
                    <w:rPr>
                      <w:rFonts w:ascii="ＭＳ 明朝" w:hAnsi="ＭＳ 明朝" w:cs="ＭＳ 明朝" w:hint="eastAsia"/>
                      <w:spacing w:val="6"/>
                      <w:kern w:val="0"/>
                      <w:szCs w:val="21"/>
                    </w:rPr>
                    <w:t>MES(Manufacturing Execution System) : 製造実行システム</w:t>
                  </w:r>
                </w:p>
                <w:p w14:paraId="7B1BCC4F" w14:textId="12C3B09E" w:rsidR="00D1302E" w:rsidRPr="00A32644" w:rsidRDefault="00A32644" w:rsidP="00A32644">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sidRPr="00A32644">
                    <w:rPr>
                      <w:rFonts w:ascii="ＭＳ 明朝" w:hAnsi="ＭＳ 明朝" w:cs="ＭＳ 明朝" w:hint="eastAsia"/>
                      <w:spacing w:val="6"/>
                      <w:kern w:val="0"/>
                      <w:szCs w:val="21"/>
                    </w:rPr>
                    <w:t>生産計画/製造指示/製造実績管理など、製造プロセス/システムの共通化を実現します。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 xml:space="preserve">(3) </w:t>
            </w:r>
            <w:r w:rsidRPr="00E577BF">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4544578C" w14:textId="77777777" w:rsidR="00FF4800" w:rsidRPr="00DD56DC"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デジタルトランスフォーメーションに関する取り組み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0C9956F6" w14:textId="0709E885" w:rsidR="00FF4800" w:rsidRPr="00DD56DC"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w:t>
                  </w:r>
                  <w:r>
                    <w:rPr>
                      <w:rFonts w:ascii="ＭＳ 明朝" w:hAnsi="ＭＳ 明朝" w:cs="ＭＳ 明朝" w:hint="eastAsia"/>
                      <w:spacing w:val="6"/>
                      <w:kern w:val="0"/>
                      <w:szCs w:val="21"/>
                    </w:rPr>
                    <w:t>5</w:t>
                  </w:r>
                  <w:r w:rsidRPr="00DD56DC">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sidRPr="00DD56DC">
                    <w:rPr>
                      <w:rFonts w:ascii="ＭＳ 明朝" w:hAnsi="ＭＳ 明朝" w:cs="ＭＳ 明朝" w:hint="eastAsia"/>
                      <w:spacing w:val="6"/>
                      <w:kern w:val="0"/>
                      <w:szCs w:val="21"/>
                    </w:rPr>
                    <w:t>月</w:t>
                  </w:r>
                  <w:r w:rsidR="00006394">
                    <w:rPr>
                      <w:rFonts w:ascii="ＭＳ 明朝" w:hAnsi="ＭＳ 明朝" w:cs="ＭＳ 明朝" w:hint="eastAsia"/>
                      <w:spacing w:val="6"/>
                      <w:kern w:val="0"/>
                      <w:szCs w:val="21"/>
                    </w:rPr>
                    <w:t>24</w:t>
                  </w:r>
                  <w:r w:rsidRPr="00DD56DC">
                    <w:rPr>
                      <w:rFonts w:ascii="ＭＳ 明朝" w:hAnsi="ＭＳ 明朝" w:cs="ＭＳ 明朝" w:hint="eastAsia"/>
                      <w:spacing w:val="6"/>
                      <w:kern w:val="0"/>
                      <w:szCs w:val="21"/>
                    </w:rPr>
                    <w:t>日</w:t>
                  </w:r>
                </w:p>
                <w:p w14:paraId="12B92F68" w14:textId="77777777" w:rsidR="00D1302E" w:rsidRPr="00E577BF" w:rsidRDefault="00D1302E"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公表方法・公表場所・記載箇所・ページ</w:t>
                  </w:r>
                </w:p>
              </w:tc>
              <w:tc>
                <w:tcPr>
                  <w:tcW w:w="5890" w:type="dxa"/>
                  <w:shd w:val="clear" w:color="auto" w:fill="auto"/>
                </w:tcPr>
                <w:p w14:paraId="0AF707E1" w14:textId="5A277210" w:rsidR="00D1302E" w:rsidRPr="00E577BF" w:rsidRDefault="00FF480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【公表方法】当社</w:t>
                  </w:r>
                  <w:r w:rsidRPr="00107D45">
                    <w:rPr>
                      <w:rFonts w:ascii="ＭＳ 明朝" w:hAnsi="ＭＳ 明朝" w:cs="ＭＳ 明朝" w:hint="eastAsia"/>
                      <w:spacing w:val="6"/>
                      <w:kern w:val="0"/>
                      <w:szCs w:val="21"/>
                    </w:rPr>
                    <w:t>ホームページ</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企業情報</w:t>
                  </w:r>
                  <w:r w:rsidRPr="001A19C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「デジタルトランスフォーメーションに関する取り組み」に記載</w:t>
                  </w:r>
                  <w:r>
                    <w:rPr>
                      <w:rFonts w:ascii="ＭＳ 明朝" w:hAnsi="ＭＳ 明朝" w:cs="ＭＳ 明朝"/>
                      <w:spacing w:val="6"/>
                      <w:kern w:val="0"/>
                      <w:szCs w:val="21"/>
                    </w:rPr>
                    <w:br/>
                  </w:r>
                  <w:r w:rsidRPr="00107D45">
                    <w:rPr>
                      <w:rFonts w:ascii="ＭＳ 明朝" w:hAnsi="ＭＳ 明朝" w:cs="ＭＳ 明朝" w:hint="eastAsia"/>
                      <w:spacing w:val="6"/>
                      <w:kern w:val="0"/>
                      <w:szCs w:val="21"/>
                    </w:rPr>
                    <w:t>【公表場所】</w:t>
                  </w:r>
                  <w:r>
                    <w:rPr>
                      <w:rFonts w:ascii="ＭＳ 明朝" w:hAnsi="ＭＳ 明朝" w:cs="ＭＳ 明朝"/>
                      <w:spacing w:val="6"/>
                      <w:kern w:val="0"/>
                      <w:szCs w:val="21"/>
                    </w:rPr>
                    <w:br/>
                  </w:r>
                  <w:hyperlink r:id="rId11" w:history="1">
                    <w:r w:rsidRPr="00CC7820">
                      <w:rPr>
                        <w:rStyle w:val="af6"/>
                        <w:rFonts w:ascii="ＭＳ 明朝" w:hAnsi="ＭＳ 明朝" w:cs="ＭＳ 明朝"/>
                        <w:spacing w:val="6"/>
                        <w:kern w:val="0"/>
                        <w:szCs w:val="21"/>
                      </w:rPr>
                      <w:t>https://www.global.toshiba/jp/company/energy/dx-strategy.html</w:t>
                    </w:r>
                  </w:hyperlink>
                  <w:r>
                    <w:rPr>
                      <w:rFonts w:ascii="ＭＳ 明朝" w:hAnsi="ＭＳ 明朝" w:cs="ＭＳ 明朝"/>
                      <w:spacing w:val="6"/>
                      <w:kern w:val="0"/>
                      <w:szCs w:val="21"/>
                    </w:rPr>
                    <w:br/>
                  </w:r>
                  <w:r>
                    <w:rPr>
                      <w:rFonts w:ascii="ＭＳ 明朝" w:hAnsi="ＭＳ 明朝" w:cs="ＭＳ 明朝" w:hint="eastAsia"/>
                      <w:spacing w:val="6"/>
                      <w:kern w:val="0"/>
                      <w:szCs w:val="21"/>
                    </w:rPr>
                    <w:t>【記載箇所】</w:t>
                  </w:r>
                  <w:r w:rsidRPr="009E77DF">
                    <w:rPr>
                      <w:rFonts w:ascii="ＭＳ 明朝" w:hAnsi="ＭＳ 明朝" w:cs="ＭＳ 明朝" w:hint="eastAsia"/>
                      <w:spacing w:val="6"/>
                      <w:kern w:val="0"/>
                      <w:szCs w:val="21"/>
                    </w:rPr>
                    <w:t>顧客向けDXの取り組み</w:t>
                  </w:r>
                  <w:r>
                    <w:rPr>
                      <w:rFonts w:ascii="ＭＳ 明朝" w:hAnsi="ＭＳ 明朝" w:cs="ＭＳ 明朝" w:hint="eastAsia"/>
                      <w:spacing w:val="6"/>
                      <w:kern w:val="0"/>
                      <w:szCs w:val="21"/>
                    </w:rPr>
                    <w:t>／社内</w:t>
                  </w:r>
                  <w:r w:rsidRPr="009E77DF">
                    <w:rPr>
                      <w:rFonts w:ascii="ＭＳ 明朝" w:hAnsi="ＭＳ 明朝" w:cs="ＭＳ 明朝" w:hint="eastAsia"/>
                      <w:spacing w:val="6"/>
                      <w:kern w:val="0"/>
                      <w:szCs w:val="21"/>
                    </w:rPr>
                    <w:t>向けDXの取り組み</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55702C61" w14:textId="77777777" w:rsidR="00FF4800" w:rsidRPr="00473E52"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顧客向けのDX戦略の達成度を測る指標：</w:t>
                  </w:r>
                  <w:r w:rsidRPr="002E75C2">
                    <w:rPr>
                      <w:rFonts w:ascii="ＭＳ 明朝" w:hAnsi="ＭＳ 明朝" w:cs="ＭＳ 明朝" w:hint="eastAsia"/>
                      <w:spacing w:val="6"/>
                      <w:kern w:val="0"/>
                      <w:szCs w:val="21"/>
                    </w:rPr>
                    <w:t>当社DX製品の適用実績数</w:t>
                  </w:r>
                </w:p>
                <w:p w14:paraId="66ADBC34" w14:textId="3F196A9F" w:rsidR="00D1302E" w:rsidRPr="00E577BF" w:rsidRDefault="00FF480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E52">
                    <w:rPr>
                      <w:rFonts w:ascii="ＭＳ 明朝" w:hAnsi="ＭＳ 明朝" w:cs="ＭＳ 明朝" w:hint="eastAsia"/>
                      <w:spacing w:val="6"/>
                      <w:kern w:val="0"/>
                      <w:szCs w:val="21"/>
                    </w:rPr>
                    <w:t>社内向けのDX戦略の達成度を測る指標：DXによる生産性や品質等の改善の達成度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4800" w:rsidRPr="00E577BF" w14:paraId="1750D3B0" w14:textId="77777777" w:rsidTr="00F5566D">
              <w:trPr>
                <w:trHeight w:val="697"/>
              </w:trPr>
              <w:tc>
                <w:tcPr>
                  <w:tcW w:w="2600" w:type="dxa"/>
                  <w:shd w:val="clear" w:color="auto" w:fill="auto"/>
                </w:tcPr>
                <w:p w14:paraId="5C79184D" w14:textId="77777777" w:rsidR="00FF4800" w:rsidRPr="00E577BF" w:rsidRDefault="00FF4800" w:rsidP="00FF480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発信日</w:t>
                  </w:r>
                </w:p>
              </w:tc>
              <w:tc>
                <w:tcPr>
                  <w:tcW w:w="5890" w:type="dxa"/>
                  <w:shd w:val="clear" w:color="auto" w:fill="auto"/>
                </w:tcPr>
                <w:p w14:paraId="15F52CA6" w14:textId="258E6FE2" w:rsidR="00FF4800" w:rsidRPr="00DD56DC"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w:t>
                  </w:r>
                  <w:r>
                    <w:rPr>
                      <w:rFonts w:ascii="ＭＳ 明朝" w:hAnsi="ＭＳ 明朝" w:cs="ＭＳ 明朝" w:hint="eastAsia"/>
                      <w:spacing w:val="6"/>
                      <w:kern w:val="0"/>
                      <w:szCs w:val="21"/>
                    </w:rPr>
                    <w:t>5</w:t>
                  </w:r>
                  <w:r w:rsidRPr="00DD56DC">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sidRPr="00DD56DC">
                    <w:rPr>
                      <w:rFonts w:ascii="ＭＳ 明朝" w:hAnsi="ＭＳ 明朝" w:cs="ＭＳ 明朝" w:hint="eastAsia"/>
                      <w:spacing w:val="6"/>
                      <w:kern w:val="0"/>
                      <w:szCs w:val="21"/>
                    </w:rPr>
                    <w:t>月</w:t>
                  </w:r>
                  <w:r w:rsidR="00006394">
                    <w:rPr>
                      <w:rFonts w:ascii="ＭＳ 明朝" w:hAnsi="ＭＳ 明朝" w:cs="ＭＳ 明朝" w:hint="eastAsia"/>
                      <w:spacing w:val="6"/>
                      <w:kern w:val="0"/>
                      <w:szCs w:val="21"/>
                    </w:rPr>
                    <w:t>24</w:t>
                  </w:r>
                  <w:r w:rsidRPr="00DD56DC">
                    <w:rPr>
                      <w:rFonts w:ascii="ＭＳ 明朝" w:hAnsi="ＭＳ 明朝" w:cs="ＭＳ 明朝" w:hint="eastAsia"/>
                      <w:spacing w:val="6"/>
                      <w:kern w:val="0"/>
                      <w:szCs w:val="21"/>
                    </w:rPr>
                    <w:t>日</w:t>
                  </w:r>
                </w:p>
                <w:p w14:paraId="7F5FBFDF" w14:textId="77777777" w:rsidR="00FF4800" w:rsidRPr="00E577BF"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FF4800" w:rsidRPr="00E577BF" w14:paraId="1A82348A" w14:textId="77777777" w:rsidTr="00F5566D">
              <w:trPr>
                <w:trHeight w:val="707"/>
              </w:trPr>
              <w:tc>
                <w:tcPr>
                  <w:tcW w:w="2600" w:type="dxa"/>
                  <w:shd w:val="clear" w:color="auto" w:fill="auto"/>
                </w:tcPr>
                <w:p w14:paraId="12D5BC37" w14:textId="77777777" w:rsidR="00FF4800" w:rsidRPr="00E577BF" w:rsidRDefault="00FF4800" w:rsidP="00FF480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発信方法</w:t>
                  </w:r>
                </w:p>
              </w:tc>
              <w:tc>
                <w:tcPr>
                  <w:tcW w:w="5890" w:type="dxa"/>
                  <w:shd w:val="clear" w:color="auto" w:fill="auto"/>
                </w:tcPr>
                <w:p w14:paraId="07974676" w14:textId="6DBE26A6" w:rsidR="00FF4800" w:rsidRDefault="00FF4800"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w:t>
                  </w:r>
                  <w:r w:rsidRPr="00107D45">
                    <w:rPr>
                      <w:rFonts w:ascii="ＭＳ 明朝" w:hAnsi="ＭＳ 明朝" w:cs="ＭＳ 明朝" w:hint="eastAsia"/>
                      <w:spacing w:val="6"/>
                      <w:kern w:val="0"/>
                      <w:szCs w:val="21"/>
                    </w:rPr>
                    <w:t>ホームページ</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企業情報</w:t>
                  </w:r>
                  <w:r w:rsidRPr="001A19C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「デジタルトランスフォーメーションに関する取り組み」＞「</w:t>
                  </w:r>
                  <w:r w:rsidRPr="009E77DF">
                    <w:rPr>
                      <w:rFonts w:ascii="ＭＳ 明朝" w:hAnsi="ＭＳ 明朝" w:cs="ＭＳ 明朝" w:hint="eastAsia"/>
                      <w:spacing w:val="6"/>
                      <w:kern w:val="0"/>
                      <w:szCs w:val="21"/>
                    </w:rPr>
                    <w:t>デジタルトランスフォーメーション戦略に関するメッセージ</w:t>
                  </w:r>
                  <w:r>
                    <w:rPr>
                      <w:rFonts w:ascii="ＭＳ 明朝" w:hAnsi="ＭＳ 明朝" w:cs="ＭＳ 明朝" w:hint="eastAsia"/>
                      <w:spacing w:val="6"/>
                      <w:kern w:val="0"/>
                      <w:szCs w:val="21"/>
                    </w:rPr>
                    <w:t>」にて発信</w:t>
                  </w:r>
                </w:p>
                <w:p w14:paraId="67F41979" w14:textId="29A073F2" w:rsidR="00FF4800" w:rsidRPr="00E577BF" w:rsidRDefault="00A90D41" w:rsidP="00FF480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sidR="00FF4800" w:rsidRPr="00CC7820">
                      <w:rPr>
                        <w:rStyle w:val="af6"/>
                        <w:rFonts w:ascii="ＭＳ 明朝" w:hAnsi="ＭＳ 明朝" w:cs="ＭＳ 明朝"/>
                        <w:spacing w:val="6"/>
                        <w:kern w:val="0"/>
                        <w:szCs w:val="21"/>
                      </w:rPr>
                      <w:t>https://www.global.toshiba/jp/company/energy/dx-strategy.html</w:t>
                    </w:r>
                  </w:hyperlink>
                </w:p>
              </w:tc>
            </w:tr>
            <w:tr w:rsidR="00FF4800" w:rsidRPr="00E577BF" w14:paraId="12776442" w14:textId="77777777" w:rsidTr="00F5566D">
              <w:trPr>
                <w:trHeight w:val="697"/>
              </w:trPr>
              <w:tc>
                <w:tcPr>
                  <w:tcW w:w="2600" w:type="dxa"/>
                  <w:shd w:val="clear" w:color="auto" w:fill="auto"/>
                </w:tcPr>
                <w:p w14:paraId="10265619" w14:textId="77777777" w:rsidR="00FF4800" w:rsidRPr="00E577BF" w:rsidRDefault="00FF4800" w:rsidP="00FF480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発信内容</w:t>
                  </w:r>
                </w:p>
              </w:tc>
              <w:tc>
                <w:tcPr>
                  <w:tcW w:w="5890" w:type="dxa"/>
                  <w:shd w:val="clear" w:color="auto" w:fill="auto"/>
                </w:tcPr>
                <w:p w14:paraId="4C177BED" w14:textId="08DE9403" w:rsidR="00424306" w:rsidRPr="00424306" w:rsidRDefault="00424306" w:rsidP="0042430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bookmarkStart w:id="2" w:name="_Hlk193794797"/>
                  <w:r w:rsidRPr="00424306">
                    <w:rPr>
                      <w:rFonts w:ascii="ＭＳ 明朝" w:hAnsi="ＭＳ 明朝" w:cs="ＭＳ 明朝" w:hint="eastAsia"/>
                      <w:spacing w:val="6"/>
                      <w:kern w:val="0"/>
                      <w:szCs w:val="21"/>
                    </w:rPr>
                    <w:t>顧客及びパートナー向けのデジタルトランスフォーメーション（以下、DX）戦略としては、エネルギーインフラのさらなる進化を目指し、エネルギーIoTサービス「TOSHIBA SPINEX for Energy」などを活用し、「電力事業者様向けソリューションの高度化」、「電力需要家様等へのデジタルサービスの展開」、「ステークホルダーとの共創による新規事業の開拓」の３つのアプローチで貢献していきます。</w:t>
                  </w:r>
                </w:p>
                <w:p w14:paraId="3BFA0E10" w14:textId="77777777" w:rsidR="00424306" w:rsidRPr="00424306" w:rsidRDefault="00424306" w:rsidP="0042430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24306">
                    <w:rPr>
                      <w:rFonts w:ascii="ＭＳ 明朝" w:hAnsi="ＭＳ 明朝" w:cs="ＭＳ 明朝" w:hint="eastAsia"/>
                      <w:spacing w:val="6"/>
                      <w:kern w:val="0"/>
                      <w:szCs w:val="21"/>
                    </w:rPr>
                    <w:t>また社内向けのDX戦略においては、次期基幹システムの導入と設計・製造のデジタル化の一体活動によりバリューチェーン全体の情報を統合し、経営情報の一元管理・経営判断の迅速化・データ活用による業務効率化と生産性向上を実現していきます。</w:t>
                  </w:r>
                </w:p>
                <w:bookmarkEnd w:id="2"/>
                <w:p w14:paraId="55E619AC" w14:textId="5DE0E89E" w:rsidR="00424306" w:rsidRPr="00424306" w:rsidRDefault="00424306" w:rsidP="0042430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24306">
                    <w:rPr>
                      <w:rFonts w:ascii="ＭＳ 明朝" w:hAnsi="ＭＳ 明朝" w:cs="ＭＳ 明朝" w:hint="eastAsia"/>
                      <w:spacing w:val="6"/>
                      <w:kern w:val="0"/>
                      <w:szCs w:val="21"/>
                    </w:rPr>
                    <w:t>上記DX戦略を推進するため、DX人材の育成強化、DX達成の指標作成などの取り組みも行っています。</w:t>
                  </w:r>
                </w:p>
                <w:p w14:paraId="052C604F" w14:textId="7773AF54" w:rsidR="00FF4800" w:rsidRPr="00E577BF" w:rsidRDefault="00424306" w:rsidP="0042430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bookmarkStart w:id="3" w:name="_Hlk193794852"/>
                  <w:r w:rsidRPr="00424306">
                    <w:rPr>
                      <w:rFonts w:ascii="ＭＳ 明朝" w:hAnsi="ＭＳ 明朝" w:cs="ＭＳ 明朝" w:hint="eastAsia"/>
                      <w:spacing w:val="6"/>
                      <w:kern w:val="0"/>
                      <w:szCs w:val="21"/>
                    </w:rPr>
                    <w:t>当社は「電気をつくる、おくる、ためる、かしこくつかう」ための機器･システム･サービスを提供しており、CO</w:t>
                  </w:r>
                  <w:r w:rsidRPr="00A90D41">
                    <w:rPr>
                      <w:rFonts w:ascii="ＭＳ 明朝" w:hAnsi="ＭＳ 明朝" w:cs="ＭＳ 明朝" w:hint="eastAsia"/>
                      <w:spacing w:val="6"/>
                      <w:kern w:val="0"/>
                      <w:szCs w:val="21"/>
                      <w:vertAlign w:val="subscript"/>
                    </w:rPr>
                    <w:t>2</w:t>
                  </w:r>
                  <w:r w:rsidRPr="00424306">
                    <w:rPr>
                      <w:rFonts w:ascii="ＭＳ 明朝" w:hAnsi="ＭＳ 明朝" w:cs="ＭＳ 明朝" w:hint="eastAsia"/>
                      <w:spacing w:val="6"/>
                      <w:kern w:val="0"/>
                      <w:szCs w:val="21"/>
                    </w:rPr>
                    <w:t>の有効活用に関する技術開発にも取り組んでいます。これらの技術・サービスにデジタル技術を融合し、お客様や事業パートナーの皆様と一緒に新たな社会価値を創造することで、エネルギーの安定供給とカーボンニュートラル、サーキュラーエコノミーの実現を目指します。</w:t>
                  </w:r>
                  <w:bookmarkEnd w:id="3"/>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実務執行総括責任者</w:t>
            </w:r>
            <w:r w:rsidR="002A27BF" w:rsidRPr="00E577BF">
              <w:rPr>
                <w:rFonts w:ascii="ＭＳ 明朝" w:hAnsi="ＭＳ 明朝" w:cs="ＭＳ 明朝" w:hint="eastAsia"/>
                <w:spacing w:val="6"/>
                <w:kern w:val="0"/>
                <w:szCs w:val="21"/>
              </w:rPr>
              <w:t>が</w:t>
            </w:r>
            <w:r w:rsidRPr="00E577BF">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4807A249" w14:textId="0734C241" w:rsidR="00D1302E" w:rsidRPr="00E577BF" w:rsidRDefault="003C279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C76381">
                    <w:rPr>
                      <w:rFonts w:ascii="ＭＳ 明朝" w:hAnsi="ＭＳ 明朝" w:cs="ＭＳ 明朝" w:hint="eastAsia"/>
                      <w:spacing w:val="6"/>
                      <w:kern w:val="0"/>
                      <w:szCs w:val="21"/>
                    </w:rPr>
                    <w:t>3</w:t>
                  </w:r>
                  <w:r w:rsidR="00D1302E" w:rsidRPr="00E577BF">
                    <w:rPr>
                      <w:rFonts w:ascii="ＭＳ 明朝" w:hAnsi="ＭＳ 明朝" w:cs="ＭＳ 明朝" w:hint="eastAsia"/>
                      <w:spacing w:val="6"/>
                      <w:kern w:val="0"/>
                      <w:szCs w:val="21"/>
                    </w:rPr>
                    <w:t>年</w:t>
                  </w:r>
                  <w:r w:rsidR="00E36E36">
                    <w:rPr>
                      <w:rFonts w:ascii="ＭＳ 明朝" w:hAnsi="ＭＳ 明朝" w:cs="ＭＳ 明朝" w:hint="eastAsia"/>
                      <w:spacing w:val="6"/>
                      <w:kern w:val="0"/>
                      <w:szCs w:val="21"/>
                    </w:rPr>
                    <w:t xml:space="preserve">　</w:t>
                  </w:r>
                  <w:r w:rsidR="00C76381">
                    <w:rPr>
                      <w:rFonts w:ascii="ＭＳ 明朝" w:hAnsi="ＭＳ 明朝" w:cs="ＭＳ 明朝" w:hint="eastAsia"/>
                      <w:spacing w:val="6"/>
                      <w:kern w:val="0"/>
                      <w:szCs w:val="21"/>
                    </w:rPr>
                    <w:t>8</w:t>
                  </w:r>
                  <w:r w:rsidR="00D1302E" w:rsidRPr="00E577BF">
                    <w:rPr>
                      <w:rFonts w:ascii="ＭＳ 明朝" w:hAnsi="ＭＳ 明朝" w:cs="ＭＳ 明朝" w:hint="eastAsia"/>
                      <w:spacing w:val="6"/>
                      <w:kern w:val="0"/>
                      <w:szCs w:val="21"/>
                    </w:rPr>
                    <w:t>月頃　～</w:t>
                  </w:r>
                  <w:r>
                    <w:rPr>
                      <w:rFonts w:ascii="ＭＳ 明朝" w:hAnsi="ＭＳ 明朝" w:cs="ＭＳ 明朝" w:hint="eastAsia"/>
                      <w:spacing w:val="6"/>
                      <w:kern w:val="0"/>
                      <w:szCs w:val="21"/>
                    </w:rPr>
                    <w:t xml:space="preserve"> 2025</w:t>
                  </w:r>
                  <w:r w:rsidR="00D1302E" w:rsidRPr="00E577BF">
                    <w:rPr>
                      <w:rFonts w:ascii="ＭＳ 明朝" w:hAnsi="ＭＳ 明朝" w:cs="ＭＳ 明朝" w:hint="eastAsia"/>
                      <w:spacing w:val="6"/>
                      <w:kern w:val="0"/>
                      <w:szCs w:val="21"/>
                    </w:rPr>
                    <w:t>年</w:t>
                  </w:r>
                  <w:r w:rsidR="00E36E36">
                    <w:rPr>
                      <w:rFonts w:ascii="ＭＳ 明朝" w:hAnsi="ＭＳ 明朝" w:cs="ＭＳ 明朝" w:hint="eastAsia"/>
                      <w:spacing w:val="6"/>
                      <w:kern w:val="0"/>
                      <w:szCs w:val="21"/>
                    </w:rPr>
                    <w:t xml:space="preserve">　</w:t>
                  </w:r>
                  <w:r w:rsidR="00006394">
                    <w:rPr>
                      <w:rFonts w:ascii="ＭＳ 明朝" w:hAnsi="ＭＳ 明朝" w:cs="ＭＳ 明朝" w:hint="eastAsia"/>
                      <w:spacing w:val="6"/>
                      <w:kern w:val="0"/>
                      <w:szCs w:val="21"/>
                    </w:rPr>
                    <w:t>3</w:t>
                  </w:r>
                  <w:r w:rsidR="00D1302E" w:rsidRPr="00E577BF">
                    <w:rPr>
                      <w:rFonts w:ascii="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38DAFA95" w14:textId="77777777" w:rsidR="003C2794" w:rsidRPr="00DE4DA8" w:rsidRDefault="003C2794" w:rsidP="003C27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E4DA8">
                    <w:rPr>
                      <w:rFonts w:ascii="ＭＳ 明朝" w:hAnsi="ＭＳ 明朝" w:cs="ＭＳ 明朝" w:hint="eastAsia"/>
                      <w:spacing w:val="6"/>
                      <w:kern w:val="0"/>
                      <w:szCs w:val="21"/>
                    </w:rPr>
                    <w:t>・「DX推進指標」自己診断シートに基づく自己点検（別添）を実施</w:t>
                  </w:r>
                  <w:r>
                    <w:rPr>
                      <w:rFonts w:ascii="ＭＳ 明朝" w:hAnsi="ＭＳ 明朝" w:cs="ＭＳ 明朝" w:hint="eastAsia"/>
                      <w:spacing w:val="6"/>
                      <w:kern w:val="0"/>
                      <w:szCs w:val="21"/>
                    </w:rPr>
                    <w:t>した</w:t>
                  </w:r>
                  <w:r w:rsidRPr="00DE4DA8">
                    <w:rPr>
                      <w:rFonts w:ascii="ＭＳ 明朝" w:hAnsi="ＭＳ 明朝" w:cs="ＭＳ 明朝" w:hint="eastAsia"/>
                      <w:spacing w:val="6"/>
                      <w:kern w:val="0"/>
                      <w:szCs w:val="21"/>
                    </w:rPr>
                    <w:t>。</w:t>
                  </w:r>
                </w:p>
                <w:p w14:paraId="3F52CB17" w14:textId="0E0CE5D9" w:rsidR="00D1302E" w:rsidRPr="00E577BF" w:rsidRDefault="003C279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75A61">
                    <w:rPr>
                      <w:rFonts w:ascii="ＭＳ 明朝" w:hAnsi="ＭＳ 明朝" w:cs="ＭＳ 明朝" w:hint="eastAsia"/>
                      <w:spacing w:val="6"/>
                      <w:kern w:val="0"/>
                      <w:szCs w:val="21"/>
                    </w:rPr>
                    <w:t>・</w:t>
                  </w:r>
                  <w:r w:rsidRPr="00A06D0C">
                    <w:rPr>
                      <w:rFonts w:ascii="ＭＳ 明朝" w:hAnsi="ＭＳ 明朝" w:cs="ＭＳ 明朝" w:hint="eastAsia"/>
                      <w:spacing w:val="6"/>
                      <w:kern w:val="0"/>
                      <w:szCs w:val="21"/>
                    </w:rPr>
                    <w:t>毎年行っている</w:t>
                  </w:r>
                  <w:r w:rsidRPr="00A841F1">
                    <w:rPr>
                      <w:rFonts w:ascii="ＭＳ 明朝" w:hAnsi="ＭＳ 明朝" w:cs="ＭＳ 明朝" w:hint="eastAsia"/>
                      <w:spacing w:val="6"/>
                      <w:kern w:val="0"/>
                      <w:szCs w:val="21"/>
                    </w:rPr>
                    <w:t>ITアセット／コストの調査を実施し、実態及び課題を把握。</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実施時期</w:t>
                  </w:r>
                </w:p>
              </w:tc>
              <w:tc>
                <w:tcPr>
                  <w:tcW w:w="5890" w:type="dxa"/>
                  <w:shd w:val="clear" w:color="auto" w:fill="auto"/>
                </w:tcPr>
                <w:p w14:paraId="4B4535E5" w14:textId="7FBC0084" w:rsidR="003C2794" w:rsidRPr="00DD56DC" w:rsidRDefault="003C2794" w:rsidP="003C27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021</w:t>
                  </w:r>
                  <w:r w:rsidRPr="00DD56DC">
                    <w:rPr>
                      <w:rFonts w:ascii="ＭＳ 明朝" w:hAnsi="ＭＳ 明朝" w:cs="ＭＳ 明朝" w:hint="eastAsia"/>
                      <w:spacing w:val="6"/>
                      <w:kern w:val="0"/>
                      <w:szCs w:val="21"/>
                    </w:rPr>
                    <w:t>年</w:t>
                  </w:r>
                  <w:r>
                    <w:rPr>
                      <w:rFonts w:ascii="ＭＳ 明朝" w:hAnsi="ＭＳ 明朝" w:cs="ＭＳ 明朝" w:hint="eastAsia"/>
                      <w:spacing w:val="6"/>
                      <w:kern w:val="0"/>
                      <w:szCs w:val="21"/>
                    </w:rPr>
                    <w:t>4</w:t>
                  </w:r>
                  <w:r w:rsidRPr="00DD56DC">
                    <w:rPr>
                      <w:rFonts w:ascii="ＭＳ 明朝" w:hAnsi="ＭＳ 明朝" w:cs="ＭＳ 明朝" w:hint="eastAsia"/>
                      <w:spacing w:val="6"/>
                      <w:kern w:val="0"/>
                      <w:szCs w:val="21"/>
                    </w:rPr>
                    <w:t>月頃　～</w:t>
                  </w:r>
                  <w:r>
                    <w:rPr>
                      <w:rFonts w:ascii="ＭＳ 明朝" w:hAnsi="ＭＳ 明朝" w:cs="ＭＳ 明朝" w:hint="eastAsia"/>
                      <w:spacing w:val="6"/>
                      <w:kern w:val="0"/>
                      <w:szCs w:val="21"/>
                    </w:rPr>
                    <w:t xml:space="preserve">　継続実施中</w:t>
                  </w:r>
                </w:p>
                <w:p w14:paraId="20566CAA" w14:textId="77777777" w:rsidR="00D1302E" w:rsidRPr="003C2794"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3FC99A61" w14:textId="77777777" w:rsidR="003C2794" w:rsidRPr="00DE4DA8" w:rsidRDefault="003C2794" w:rsidP="003C27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E4DA8">
                    <w:rPr>
                      <w:rFonts w:ascii="ＭＳ 明朝" w:hAnsi="ＭＳ 明朝" w:cs="ＭＳ 明朝" w:hint="eastAsia"/>
                      <w:spacing w:val="6"/>
                      <w:kern w:val="0"/>
                      <w:szCs w:val="21"/>
                    </w:rPr>
                    <w:t>・サイバーセキュリティ経営ガイドラインにある『サイバーセキュリティ経営の重要10</w:t>
                  </w:r>
                  <w:r>
                    <w:rPr>
                      <w:rFonts w:ascii="ＭＳ 明朝" w:hAnsi="ＭＳ 明朝" w:cs="ＭＳ 明朝" w:hint="eastAsia"/>
                      <w:spacing w:val="6"/>
                      <w:kern w:val="0"/>
                      <w:szCs w:val="21"/>
                    </w:rPr>
                    <w:t>か条』を網羅するように</w:t>
                  </w:r>
                  <w:r w:rsidRPr="00DE4DA8">
                    <w:rPr>
                      <w:rFonts w:ascii="ＭＳ 明朝" w:hAnsi="ＭＳ 明朝" w:cs="ＭＳ 明朝" w:hint="eastAsia"/>
                      <w:spacing w:val="6"/>
                      <w:kern w:val="0"/>
                      <w:szCs w:val="21"/>
                    </w:rPr>
                    <w:t>対策を定義し、</w:t>
                  </w:r>
                  <w:r>
                    <w:rPr>
                      <w:rFonts w:ascii="ＭＳ 明朝" w:hAnsi="ＭＳ 明朝" w:cs="ＭＳ 明朝" w:hint="eastAsia"/>
                      <w:spacing w:val="6"/>
                      <w:kern w:val="0"/>
                      <w:szCs w:val="21"/>
                    </w:rPr>
                    <w:t>体制や実施事項を当</w:t>
                  </w:r>
                  <w:r w:rsidRPr="00DE4DA8">
                    <w:rPr>
                      <w:rFonts w:ascii="ＭＳ 明朝" w:hAnsi="ＭＳ 明朝" w:cs="ＭＳ 明朝" w:hint="eastAsia"/>
                      <w:spacing w:val="6"/>
                      <w:kern w:val="0"/>
                      <w:szCs w:val="21"/>
                    </w:rPr>
                    <w:t>社で規程化し</w:t>
                  </w:r>
                  <w:r>
                    <w:rPr>
                      <w:rFonts w:ascii="ＭＳ 明朝" w:hAnsi="ＭＳ 明朝" w:cs="ＭＳ 明朝" w:hint="eastAsia"/>
                      <w:spacing w:val="6"/>
                      <w:kern w:val="0"/>
                      <w:szCs w:val="21"/>
                    </w:rPr>
                    <w:t>た上で</w:t>
                  </w:r>
                  <w:r w:rsidRPr="00DE4DA8">
                    <w:rPr>
                      <w:rFonts w:ascii="ＭＳ 明朝" w:hAnsi="ＭＳ 明朝" w:cs="ＭＳ 明朝" w:hint="eastAsia"/>
                      <w:spacing w:val="6"/>
                      <w:kern w:val="0"/>
                      <w:szCs w:val="21"/>
                    </w:rPr>
                    <w:t>実行</w:t>
                  </w:r>
                  <w:r>
                    <w:rPr>
                      <w:rFonts w:ascii="ＭＳ 明朝" w:hAnsi="ＭＳ 明朝" w:cs="ＭＳ 明朝" w:hint="eastAsia"/>
                      <w:spacing w:val="6"/>
                      <w:kern w:val="0"/>
                      <w:szCs w:val="21"/>
                    </w:rPr>
                    <w:t>している</w:t>
                  </w:r>
                  <w:r w:rsidRPr="00DE4DA8">
                    <w:rPr>
                      <w:rFonts w:ascii="ＭＳ 明朝" w:hAnsi="ＭＳ 明朝" w:cs="ＭＳ 明朝" w:hint="eastAsia"/>
                      <w:spacing w:val="6"/>
                      <w:kern w:val="0"/>
                      <w:szCs w:val="21"/>
                    </w:rPr>
                    <w:t>。</w:t>
                  </w:r>
                </w:p>
                <w:p w14:paraId="55510B03" w14:textId="711A415E" w:rsidR="00350A8C" w:rsidRPr="00E577BF" w:rsidRDefault="003C2794" w:rsidP="00350A8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E4DA8">
                    <w:rPr>
                      <w:rFonts w:ascii="ＭＳ 明朝" w:hAnsi="ＭＳ 明朝" w:cs="ＭＳ 明朝" w:hint="eastAsia"/>
                      <w:spacing w:val="6"/>
                      <w:kern w:val="0"/>
                      <w:szCs w:val="21"/>
                    </w:rPr>
                    <w:t>・対策の遵守状況を各部門が自律的に点検し、改善する自主監査を毎年実施</w:t>
                  </w:r>
                  <w:r>
                    <w:rPr>
                      <w:rFonts w:ascii="ＭＳ 明朝" w:hAnsi="ＭＳ 明朝" w:cs="ＭＳ 明朝" w:hint="eastAsia"/>
                      <w:spacing w:val="6"/>
                      <w:kern w:val="0"/>
                      <w:szCs w:val="21"/>
                    </w:rPr>
                    <w:t>している</w:t>
                  </w:r>
                  <w:r w:rsidRPr="00DE4DA8">
                    <w:rPr>
                      <w:rFonts w:ascii="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szCs w:val="21"/>
        </w:rPr>
        <w:br w:type="page"/>
      </w:r>
      <w:r w:rsidR="00E9474D" w:rsidRPr="00E577BF">
        <w:rPr>
          <w:rFonts w:ascii="ＭＳ 明朝" w:hAnsi="ＭＳ 明朝" w:cs="ＭＳ 明朝" w:hint="eastAsia"/>
          <w:spacing w:val="6"/>
          <w:kern w:val="0"/>
          <w:szCs w:val="21"/>
        </w:rPr>
        <w:lastRenderedPageBreak/>
        <w:t>様式第１</w:t>
      </w:r>
      <w:r w:rsidR="00904B31" w:rsidRPr="00E577BF">
        <w:rPr>
          <w:rFonts w:ascii="ＭＳ 明朝" w:hAnsi="ＭＳ 明朝" w:cs="ＭＳ 明朝" w:hint="eastAsia"/>
          <w:spacing w:val="6"/>
          <w:kern w:val="0"/>
          <w:szCs w:val="21"/>
        </w:rPr>
        <w:t>７</w:t>
      </w:r>
      <w:r w:rsidR="00E9474D" w:rsidRPr="00E577BF">
        <w:rPr>
          <w:rFonts w:ascii="ＭＳ 明朝" w:hAnsi="ＭＳ 明朝" w:cs="ＭＳ 明朝" w:hint="eastAsia"/>
          <w:spacing w:val="6"/>
          <w:kern w:val="0"/>
          <w:szCs w:val="21"/>
        </w:rPr>
        <w:t>（第</w:t>
      </w:r>
      <w:r w:rsidR="00904B31" w:rsidRPr="00E577BF">
        <w:rPr>
          <w:rFonts w:ascii="ＭＳ 明朝" w:hAnsi="ＭＳ 明朝" w:cs="ＭＳ 明朝" w:hint="eastAsia"/>
          <w:spacing w:val="6"/>
          <w:kern w:val="0"/>
          <w:szCs w:val="21"/>
        </w:rPr>
        <w:t>４２</w:t>
      </w:r>
      <w:r w:rsidR="00E9474D" w:rsidRPr="00E577BF">
        <w:rPr>
          <w:rFonts w:ascii="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情報処理の促進に関する法律施行規則第４１条第２号</w:t>
            </w:r>
            <w:r w:rsidR="00B43900" w:rsidRPr="00E577BF">
              <w:rPr>
                <w:rFonts w:ascii="ＭＳ 明朝" w:hAnsi="ＭＳ 明朝" w:cs="ＭＳ 明朝" w:hint="eastAsia"/>
                <w:spacing w:val="6"/>
                <w:kern w:val="0"/>
                <w:szCs w:val="21"/>
              </w:rPr>
              <w:t>の</w:t>
            </w:r>
            <w:r w:rsidR="00433A51" w:rsidRPr="00E577BF">
              <w:rPr>
                <w:rFonts w:ascii="ＭＳ 明朝" w:hAnsi="ＭＳ 明朝" w:cs="ＭＳ 明朝" w:hint="eastAsia"/>
                <w:spacing w:val="6"/>
                <w:kern w:val="0"/>
                <w:szCs w:val="21"/>
              </w:rPr>
              <w:t>基準による</w:t>
            </w:r>
            <w:r w:rsidRPr="00E577BF">
              <w:rPr>
                <w:rFonts w:ascii="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データ連携システムの運用及び管理に関する</w:t>
            </w:r>
            <w:r w:rsidR="00F5566D" w:rsidRPr="00E577BF">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xml:space="preserve"> </w:t>
            </w:r>
            <w:r w:rsidR="00696A0C" w:rsidRPr="00E577BF">
              <w:rPr>
                <w:rFonts w:ascii="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hAnsi="ＭＳ 明朝" w:cs="ＭＳ 明朝" w:hint="eastAsia"/>
                <w:spacing w:val="6"/>
                <w:kern w:val="0"/>
                <w:szCs w:val="21"/>
              </w:rPr>
              <w:t>するものとする</w:t>
            </w:r>
            <w:r w:rsidRPr="00E577BF">
              <w:rPr>
                <w:rFonts w:ascii="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hAnsi="ＭＳ 明朝"/>
          <w:spacing w:val="14"/>
          <w:kern w:val="0"/>
          <w:szCs w:val="21"/>
        </w:rPr>
      </w:pPr>
      <w:r w:rsidRPr="00E577BF">
        <w:rPr>
          <w:rFonts w:ascii="ＭＳ 明朝" w:hAnsi="ＭＳ 明朝" w:cs="ＭＳ 明朝"/>
          <w:szCs w:val="21"/>
        </w:rPr>
        <w:br w:type="page"/>
      </w:r>
      <w:r w:rsidR="00D1302E" w:rsidRPr="00E577BF">
        <w:rPr>
          <w:rFonts w:ascii="ＭＳ 明朝" w:hAnsi="ＭＳ 明朝" w:cs="ＭＳ 明朝" w:hint="eastAsia"/>
          <w:spacing w:val="6"/>
          <w:kern w:val="0"/>
          <w:szCs w:val="21"/>
        </w:rPr>
        <w:lastRenderedPageBreak/>
        <w:t>様式第１７</w:t>
      </w:r>
      <w:r w:rsidR="00F513A5" w:rsidRPr="00E577BF">
        <w:rPr>
          <w:rFonts w:ascii="ＭＳ 明朝" w:hAnsi="ＭＳ 明朝" w:cs="ＭＳ 明朝" w:hint="eastAsia"/>
          <w:spacing w:val="6"/>
          <w:kern w:val="0"/>
          <w:szCs w:val="21"/>
        </w:rPr>
        <w:t>（第４２</w:t>
      </w:r>
      <w:r w:rsidR="00D1302E" w:rsidRPr="00E577BF">
        <w:rPr>
          <w:rFonts w:ascii="ＭＳ 明朝" w:hAnsi="ＭＳ 明朝" w:cs="ＭＳ 明朝" w:hint="eastAsia"/>
          <w:spacing w:val="6"/>
          <w:kern w:val="0"/>
          <w:szCs w:val="21"/>
        </w:rPr>
        <w:t>条関係）（第</w:t>
      </w:r>
      <w:r w:rsidRPr="00E577BF">
        <w:rPr>
          <w:rFonts w:ascii="ＭＳ 明朝" w:hAnsi="ＭＳ 明朝" w:cs="ＭＳ 明朝" w:hint="eastAsia"/>
          <w:spacing w:val="6"/>
          <w:kern w:val="0"/>
          <w:szCs w:val="21"/>
        </w:rPr>
        <w:t>六</w:t>
      </w:r>
      <w:r w:rsidR="00D1302E" w:rsidRPr="00E577BF">
        <w:rPr>
          <w:rFonts w:ascii="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hAnsi="ＭＳ 明朝"/>
          <w:spacing w:val="14"/>
          <w:kern w:val="0"/>
          <w:szCs w:val="21"/>
        </w:rPr>
      </w:pPr>
      <w:r w:rsidRPr="00E577BF">
        <w:rPr>
          <w:rFonts w:ascii="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１．「申請年月日」欄は、経済産業大臣に認定</w:t>
      </w:r>
      <w:r w:rsidR="00500737"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２．</w:t>
      </w:r>
      <w:r w:rsidR="00432BA9" w:rsidRPr="00E577BF">
        <w:rPr>
          <w:rFonts w:ascii="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E577BF">
        <w:rPr>
          <w:rFonts w:ascii="ＭＳ 明朝" w:hAnsi="ＭＳ 明朝" w:cs="ＭＳ 明朝" w:hint="eastAsia"/>
          <w:kern w:val="0"/>
          <w:szCs w:val="21"/>
        </w:rPr>
        <w:t>３</w:t>
      </w:r>
      <w:r w:rsidR="00D1302E" w:rsidRPr="00E577BF">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hAnsi="ＭＳ 明朝"/>
        </w:rPr>
      </w:pPr>
      <w:r w:rsidRPr="00E577BF">
        <w:rPr>
          <w:rFonts w:ascii="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E577BF">
        <w:rPr>
          <w:rFonts w:ascii="ＭＳ 明朝" w:hAnsi="ＭＳ 明朝" w:cs="ＭＳ 明朝" w:hint="eastAsia"/>
          <w:spacing w:val="6"/>
          <w:kern w:val="0"/>
          <w:szCs w:val="21"/>
        </w:rPr>
        <w:t>５</w:t>
      </w:r>
      <w:r w:rsidR="00D1302E" w:rsidRPr="00E577BF">
        <w:rPr>
          <w:rFonts w:ascii="ＭＳ 明朝" w:hAnsi="ＭＳ 明朝" w:cs="ＭＳ 明朝" w:hint="eastAsia"/>
          <w:spacing w:val="6"/>
          <w:kern w:val="0"/>
          <w:szCs w:val="21"/>
        </w:rPr>
        <w:t>．申請内容は正しく記載すること。認定</w:t>
      </w:r>
      <w:r w:rsidR="00651528"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846638B"/>
    <w:multiLevelType w:val="hybridMultilevel"/>
    <w:tmpl w:val="1020E4BA"/>
    <w:lvl w:ilvl="0" w:tplc="0AF01C4C">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8C7940"/>
    <w:multiLevelType w:val="hybridMultilevel"/>
    <w:tmpl w:val="ABA6B56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7B09C7"/>
    <w:multiLevelType w:val="hybridMultilevel"/>
    <w:tmpl w:val="ABA6B56E"/>
    <w:lvl w:ilvl="0" w:tplc="FFFFFFFF">
      <w:start w:val="1"/>
      <w:numFmt w:val="decimal"/>
      <w:lvlText w:val="%1."/>
      <w:lvlJc w:val="left"/>
      <w:pPr>
        <w:ind w:left="420" w:hanging="420"/>
      </w:p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22902199"/>
    <w:multiLevelType w:val="hybridMultilevel"/>
    <w:tmpl w:val="3E7A5D20"/>
    <w:lvl w:ilvl="0" w:tplc="E968D2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7433C48"/>
    <w:multiLevelType w:val="hybridMultilevel"/>
    <w:tmpl w:val="8D58154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543873"/>
    <w:multiLevelType w:val="hybridMultilevel"/>
    <w:tmpl w:val="A24233A0"/>
    <w:lvl w:ilvl="0" w:tplc="DE4CAAA6">
      <w:start w:val="1"/>
      <w:numFmt w:val="decimalEnclosedCircle"/>
      <w:lvlText w:val="%1"/>
      <w:lvlJc w:val="left"/>
      <w:pPr>
        <w:ind w:left="360" w:hanging="360"/>
      </w:pPr>
      <w:rPr>
        <w:rFonts w:hint="default"/>
      </w:rPr>
    </w:lvl>
    <w:lvl w:ilvl="1" w:tplc="0190664C">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5763866"/>
    <w:multiLevelType w:val="hybridMultilevel"/>
    <w:tmpl w:val="0334416C"/>
    <w:lvl w:ilvl="0" w:tplc="537E621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5D00F6"/>
    <w:multiLevelType w:val="hybridMultilevel"/>
    <w:tmpl w:val="6D04A07C"/>
    <w:lvl w:ilvl="0" w:tplc="CB425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7"/>
  </w:num>
  <w:num w:numId="2" w16cid:durableId="587278146">
    <w:abstractNumId w:val="11"/>
  </w:num>
  <w:num w:numId="3" w16cid:durableId="1711954363">
    <w:abstractNumId w:val="0"/>
  </w:num>
  <w:num w:numId="4" w16cid:durableId="1189491815">
    <w:abstractNumId w:val="9"/>
  </w:num>
  <w:num w:numId="5" w16cid:durableId="866137800">
    <w:abstractNumId w:val="10"/>
  </w:num>
  <w:num w:numId="6" w16cid:durableId="1932009413">
    <w:abstractNumId w:val="6"/>
  </w:num>
  <w:num w:numId="7" w16cid:durableId="145049277">
    <w:abstractNumId w:val="8"/>
  </w:num>
  <w:num w:numId="8" w16cid:durableId="1897233664">
    <w:abstractNumId w:val="5"/>
  </w:num>
  <w:num w:numId="9" w16cid:durableId="1271618693">
    <w:abstractNumId w:val="2"/>
  </w:num>
  <w:num w:numId="10" w16cid:durableId="1403941650">
    <w:abstractNumId w:val="3"/>
  </w:num>
  <w:num w:numId="11" w16cid:durableId="216481432">
    <w:abstractNumId w:val="1"/>
  </w:num>
  <w:num w:numId="12" w16cid:durableId="777480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394"/>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E7693"/>
    <w:rsid w:val="000F25B5"/>
    <w:rsid w:val="00101B58"/>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32B2"/>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4A02"/>
    <w:rsid w:val="003168D3"/>
    <w:rsid w:val="0032206A"/>
    <w:rsid w:val="0032535C"/>
    <w:rsid w:val="00333E4A"/>
    <w:rsid w:val="00334B97"/>
    <w:rsid w:val="00335280"/>
    <w:rsid w:val="00336D50"/>
    <w:rsid w:val="003428DB"/>
    <w:rsid w:val="00350A8C"/>
    <w:rsid w:val="00355435"/>
    <w:rsid w:val="0035572F"/>
    <w:rsid w:val="00357A93"/>
    <w:rsid w:val="0036151D"/>
    <w:rsid w:val="00363EBC"/>
    <w:rsid w:val="0036755C"/>
    <w:rsid w:val="00370869"/>
    <w:rsid w:val="00372877"/>
    <w:rsid w:val="00380319"/>
    <w:rsid w:val="00382EBD"/>
    <w:rsid w:val="00384C06"/>
    <w:rsid w:val="0039068F"/>
    <w:rsid w:val="003A0B83"/>
    <w:rsid w:val="003A0C1A"/>
    <w:rsid w:val="003A40BB"/>
    <w:rsid w:val="003B1361"/>
    <w:rsid w:val="003B283D"/>
    <w:rsid w:val="003B53DF"/>
    <w:rsid w:val="003C2794"/>
    <w:rsid w:val="003C71BF"/>
    <w:rsid w:val="003D054D"/>
    <w:rsid w:val="003D1FF3"/>
    <w:rsid w:val="003F7752"/>
    <w:rsid w:val="004003DB"/>
    <w:rsid w:val="004012C5"/>
    <w:rsid w:val="00401AF5"/>
    <w:rsid w:val="00405D14"/>
    <w:rsid w:val="00412C9F"/>
    <w:rsid w:val="00421C74"/>
    <w:rsid w:val="00424063"/>
    <w:rsid w:val="00424306"/>
    <w:rsid w:val="00432BA9"/>
    <w:rsid w:val="00433245"/>
    <w:rsid w:val="00433A51"/>
    <w:rsid w:val="00434ECA"/>
    <w:rsid w:val="00441549"/>
    <w:rsid w:val="00446FA4"/>
    <w:rsid w:val="00450EE3"/>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5B39"/>
    <w:rsid w:val="00574B25"/>
    <w:rsid w:val="005755CD"/>
    <w:rsid w:val="00580E8C"/>
    <w:rsid w:val="0058161B"/>
    <w:rsid w:val="00590B9B"/>
    <w:rsid w:val="00591A8A"/>
    <w:rsid w:val="0059262C"/>
    <w:rsid w:val="00594AF7"/>
    <w:rsid w:val="005B62ED"/>
    <w:rsid w:val="005B7641"/>
    <w:rsid w:val="005E7BF1"/>
    <w:rsid w:val="005F2E79"/>
    <w:rsid w:val="005F7A0C"/>
    <w:rsid w:val="00611B3B"/>
    <w:rsid w:val="006136CB"/>
    <w:rsid w:val="00620169"/>
    <w:rsid w:val="006248AD"/>
    <w:rsid w:val="006313EB"/>
    <w:rsid w:val="00632325"/>
    <w:rsid w:val="0063260D"/>
    <w:rsid w:val="00632765"/>
    <w:rsid w:val="00635545"/>
    <w:rsid w:val="00651528"/>
    <w:rsid w:val="00655019"/>
    <w:rsid w:val="006604E9"/>
    <w:rsid w:val="00661607"/>
    <w:rsid w:val="0066668A"/>
    <w:rsid w:val="006766F3"/>
    <w:rsid w:val="00680033"/>
    <w:rsid w:val="00682B2D"/>
    <w:rsid w:val="00682F9B"/>
    <w:rsid w:val="00684B17"/>
    <w:rsid w:val="00696A0C"/>
    <w:rsid w:val="006B104F"/>
    <w:rsid w:val="006C0F01"/>
    <w:rsid w:val="006C13EE"/>
    <w:rsid w:val="006D3861"/>
    <w:rsid w:val="006E6FEF"/>
    <w:rsid w:val="006F2BB7"/>
    <w:rsid w:val="006F6B2A"/>
    <w:rsid w:val="00704252"/>
    <w:rsid w:val="00710544"/>
    <w:rsid w:val="0071191E"/>
    <w:rsid w:val="00720D00"/>
    <w:rsid w:val="00726DDB"/>
    <w:rsid w:val="007276ED"/>
    <w:rsid w:val="00730B06"/>
    <w:rsid w:val="007410D8"/>
    <w:rsid w:val="0074688D"/>
    <w:rsid w:val="00760625"/>
    <w:rsid w:val="00762B94"/>
    <w:rsid w:val="007675DC"/>
    <w:rsid w:val="00775A16"/>
    <w:rsid w:val="007769C5"/>
    <w:rsid w:val="00783D16"/>
    <w:rsid w:val="007877A8"/>
    <w:rsid w:val="007877B8"/>
    <w:rsid w:val="007913BB"/>
    <w:rsid w:val="007A5C44"/>
    <w:rsid w:val="007A60B8"/>
    <w:rsid w:val="007A7DF5"/>
    <w:rsid w:val="007B55A4"/>
    <w:rsid w:val="007B6F8D"/>
    <w:rsid w:val="007C43CE"/>
    <w:rsid w:val="007C4AB9"/>
    <w:rsid w:val="007E048E"/>
    <w:rsid w:val="007E1049"/>
    <w:rsid w:val="007E11B8"/>
    <w:rsid w:val="007E360B"/>
    <w:rsid w:val="007E5250"/>
    <w:rsid w:val="007E62DA"/>
    <w:rsid w:val="00804B3B"/>
    <w:rsid w:val="008050C0"/>
    <w:rsid w:val="00816759"/>
    <w:rsid w:val="00822DA9"/>
    <w:rsid w:val="00843F68"/>
    <w:rsid w:val="0084478F"/>
    <w:rsid w:val="008459EA"/>
    <w:rsid w:val="00847130"/>
    <w:rsid w:val="00847788"/>
    <w:rsid w:val="00852122"/>
    <w:rsid w:val="00860BE2"/>
    <w:rsid w:val="00865B12"/>
    <w:rsid w:val="008747CA"/>
    <w:rsid w:val="00880AD4"/>
    <w:rsid w:val="00880EB5"/>
    <w:rsid w:val="00881D72"/>
    <w:rsid w:val="00892540"/>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3A5B"/>
    <w:rsid w:val="009243FD"/>
    <w:rsid w:val="00932EA7"/>
    <w:rsid w:val="0094225E"/>
    <w:rsid w:val="00955C0C"/>
    <w:rsid w:val="00964BDD"/>
    <w:rsid w:val="00964CB9"/>
    <w:rsid w:val="009653AA"/>
    <w:rsid w:val="0097041C"/>
    <w:rsid w:val="00972B7B"/>
    <w:rsid w:val="00975A98"/>
    <w:rsid w:val="00977317"/>
    <w:rsid w:val="009811EE"/>
    <w:rsid w:val="009877BF"/>
    <w:rsid w:val="0099009C"/>
    <w:rsid w:val="0099219A"/>
    <w:rsid w:val="0099702E"/>
    <w:rsid w:val="009A5C7A"/>
    <w:rsid w:val="009C0392"/>
    <w:rsid w:val="009C7AC7"/>
    <w:rsid w:val="009C7BDA"/>
    <w:rsid w:val="009D769A"/>
    <w:rsid w:val="009E3361"/>
    <w:rsid w:val="009F6625"/>
    <w:rsid w:val="00A00ED8"/>
    <w:rsid w:val="00A22980"/>
    <w:rsid w:val="00A24438"/>
    <w:rsid w:val="00A24614"/>
    <w:rsid w:val="00A32644"/>
    <w:rsid w:val="00A3783B"/>
    <w:rsid w:val="00A43E14"/>
    <w:rsid w:val="00A45AE9"/>
    <w:rsid w:val="00A50183"/>
    <w:rsid w:val="00A50B40"/>
    <w:rsid w:val="00A541C7"/>
    <w:rsid w:val="00A549F4"/>
    <w:rsid w:val="00A56E62"/>
    <w:rsid w:val="00A7349F"/>
    <w:rsid w:val="00A8301F"/>
    <w:rsid w:val="00A8306B"/>
    <w:rsid w:val="00A84C8E"/>
    <w:rsid w:val="00A90D41"/>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5DF6"/>
    <w:rsid w:val="00BB62F5"/>
    <w:rsid w:val="00BB6584"/>
    <w:rsid w:val="00BB6C25"/>
    <w:rsid w:val="00BB79CF"/>
    <w:rsid w:val="00BD603A"/>
    <w:rsid w:val="00BF3517"/>
    <w:rsid w:val="00C05662"/>
    <w:rsid w:val="00C11209"/>
    <w:rsid w:val="00C23001"/>
    <w:rsid w:val="00C24949"/>
    <w:rsid w:val="00C350FB"/>
    <w:rsid w:val="00C3670A"/>
    <w:rsid w:val="00C4669E"/>
    <w:rsid w:val="00C46A73"/>
    <w:rsid w:val="00C63B34"/>
    <w:rsid w:val="00C66063"/>
    <w:rsid w:val="00C66648"/>
    <w:rsid w:val="00C71411"/>
    <w:rsid w:val="00C73EB2"/>
    <w:rsid w:val="00C7532F"/>
    <w:rsid w:val="00C76381"/>
    <w:rsid w:val="00C77D44"/>
    <w:rsid w:val="00C8755D"/>
    <w:rsid w:val="00C932DE"/>
    <w:rsid w:val="00C96439"/>
    <w:rsid w:val="00CA17F6"/>
    <w:rsid w:val="00CA41C8"/>
    <w:rsid w:val="00CA7393"/>
    <w:rsid w:val="00CC7DF1"/>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3C3F"/>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27F03"/>
    <w:rsid w:val="00E34612"/>
    <w:rsid w:val="00E36E36"/>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EF7899"/>
    <w:rsid w:val="00F042B2"/>
    <w:rsid w:val="00F059F9"/>
    <w:rsid w:val="00F05BB8"/>
    <w:rsid w:val="00F062FE"/>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800"/>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v1UQwDLsYkYqi4CNpbhbJS9m0J/WFodh0nwmtg/lJOHbrFnWHXNyDMzo4875BfhmynHLWUMxFZxuDNHDbA7Lw==" w:salt="Ip6dSVog9UyLFIKkxK+u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062FE"/>
    <w:rPr>
      <w:color w:val="0563C1"/>
      <w:u w:val="single"/>
    </w:rPr>
  </w:style>
  <w:style w:type="character" w:styleId="af7">
    <w:name w:val="FollowedHyperlink"/>
    <w:basedOn w:val="a0"/>
    <w:uiPriority w:val="99"/>
    <w:semiHidden/>
    <w:unhideWhenUsed/>
    <w:rsid w:val="00C350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lobal.toshiba/jp/outline/energy/vis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lobal.toshiba/jp/company/energy/dx-strateg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al.toshiba/jp/company/energy/dx-strategy.html" TargetMode="External"/><Relationship Id="rId5" Type="http://schemas.openxmlformats.org/officeDocument/2006/relationships/webSettings" Target="webSettings.xml"/><Relationship Id="rId10" Type="http://schemas.openxmlformats.org/officeDocument/2006/relationships/hyperlink" Target="https://www.global.toshiba/jp/company/energy/dx-strategy.html" TargetMode="External"/><Relationship Id="rId4" Type="http://schemas.openxmlformats.org/officeDocument/2006/relationships/settings" Target="settings.xml"/><Relationship Id="rId9" Type="http://schemas.openxmlformats.org/officeDocument/2006/relationships/hyperlink" Target="https://www.global.toshiba/jp/company/energy/dx-strategy.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1094</ap:Words>
  <ap:Characters>6239</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